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B476">
      <w:pPr>
        <w:widowControl/>
        <w:shd w:val="clear" w:color="auto" w:fill="FFFFFF"/>
        <w:spacing w:line="560" w:lineRule="exact"/>
        <w:jc w:val="center"/>
        <w:rPr>
          <w:rFonts w:hint="eastAsia" w:ascii="黑体" w:hAnsi="黑体" w:eastAsia="黑体" w:cs="黑体"/>
          <w:b w:val="0"/>
          <w:bCs w:val="0"/>
          <w:color w:val="000000"/>
          <w:kern w:val="0"/>
          <w:sz w:val="40"/>
          <w:szCs w:val="40"/>
          <w:highlight w:val="none"/>
          <w:shd w:val="clear" w:color="auto" w:fill="FFFFFF"/>
          <w:lang w:val="en-US" w:eastAsia="zh-CN"/>
        </w:rPr>
      </w:pPr>
      <w:bookmarkStart w:id="0" w:name="_Toc3849"/>
      <w:bookmarkStart w:id="1" w:name="_Toc19745"/>
      <w:bookmarkStart w:id="2" w:name="_Toc12816"/>
      <w:bookmarkStart w:id="3" w:name="_Toc8984"/>
      <w:bookmarkStart w:id="4" w:name="_Toc19945"/>
      <w:bookmarkStart w:id="5" w:name="_Toc24173"/>
      <w:r>
        <w:rPr>
          <w:rFonts w:hint="eastAsia" w:ascii="黑体" w:hAnsi="黑体" w:eastAsia="黑体" w:cs="黑体"/>
          <w:b w:val="0"/>
          <w:bCs w:val="0"/>
          <w:color w:val="000000"/>
          <w:kern w:val="0"/>
          <w:sz w:val="40"/>
          <w:szCs w:val="40"/>
          <w:highlight w:val="none"/>
          <w:shd w:val="clear" w:color="auto" w:fill="FFFFFF"/>
          <w:lang w:eastAsia="zh-CN"/>
        </w:rPr>
        <w:t>快递</w:t>
      </w:r>
      <w:r>
        <w:rPr>
          <w:rFonts w:hint="eastAsia" w:ascii="黑体" w:hAnsi="黑体" w:eastAsia="黑体" w:cs="黑体"/>
          <w:b w:val="0"/>
          <w:bCs w:val="0"/>
          <w:color w:val="000000"/>
          <w:kern w:val="0"/>
          <w:sz w:val="40"/>
          <w:szCs w:val="40"/>
          <w:highlight w:val="none"/>
          <w:shd w:val="clear" w:color="auto" w:fill="FFFFFF"/>
        </w:rPr>
        <w:t>服务合同</w:t>
      </w:r>
      <w:r>
        <w:rPr>
          <w:rFonts w:hint="eastAsia" w:ascii="黑体" w:hAnsi="黑体" w:eastAsia="黑体" w:cs="黑体"/>
          <w:b w:val="0"/>
          <w:bCs w:val="0"/>
          <w:color w:val="000000"/>
          <w:kern w:val="0"/>
          <w:sz w:val="40"/>
          <w:szCs w:val="40"/>
          <w:highlight w:val="none"/>
          <w:shd w:val="clear" w:color="auto" w:fill="FFFFFF"/>
          <w:lang w:val="en-US" w:eastAsia="zh-CN"/>
        </w:rPr>
        <w:t>主要条款模板</w:t>
      </w:r>
    </w:p>
    <w:p w14:paraId="39EFF13D">
      <w:pPr>
        <w:widowControl/>
        <w:shd w:val="clear" w:color="auto" w:fill="FFFFFF"/>
        <w:spacing w:line="560" w:lineRule="exact"/>
        <w:jc w:val="center"/>
        <w:rPr>
          <w:rFonts w:hint="eastAsia" w:ascii="宋体" w:hAnsi="宋体" w:eastAsia="黑体" w:cs="宋体"/>
          <w:b/>
          <w:bCs/>
          <w:color w:val="000000"/>
          <w:kern w:val="0"/>
          <w:sz w:val="52"/>
          <w:szCs w:val="52"/>
          <w:highlight w:val="none"/>
          <w:shd w:val="clear" w:color="auto" w:fill="FFFFFF"/>
          <w:lang w:eastAsia="zh-CN"/>
        </w:rPr>
      </w:pPr>
      <w:bookmarkStart w:id="8" w:name="_GoBack"/>
      <w:bookmarkEnd w:id="8"/>
      <w:r>
        <w:rPr>
          <w:rFonts w:hint="eastAsia" w:ascii="黑体" w:hAnsi="黑体" w:eastAsia="黑体" w:cs="黑体"/>
          <w:b w:val="0"/>
          <w:bCs w:val="0"/>
          <w:color w:val="000000"/>
          <w:kern w:val="0"/>
          <w:sz w:val="40"/>
          <w:szCs w:val="40"/>
          <w:highlight w:val="none"/>
          <w:shd w:val="clear" w:color="auto" w:fill="FFFFFF"/>
          <w:lang w:eastAsia="zh-CN"/>
        </w:rPr>
        <w:t>（</w:t>
      </w:r>
      <w:r>
        <w:rPr>
          <w:rFonts w:hint="eastAsia" w:ascii="黑体" w:hAnsi="黑体" w:eastAsia="黑体" w:cs="黑体"/>
          <w:b w:val="0"/>
          <w:bCs w:val="0"/>
          <w:color w:val="000000"/>
          <w:kern w:val="0"/>
          <w:sz w:val="40"/>
          <w:szCs w:val="40"/>
          <w:highlight w:val="none"/>
          <w:shd w:val="clear" w:color="auto" w:fill="FFFFFF"/>
          <w:lang w:val="en-US" w:eastAsia="zh-CN"/>
        </w:rPr>
        <w:t>以实际签订合同内容为准</w:t>
      </w:r>
      <w:r>
        <w:rPr>
          <w:rFonts w:hint="eastAsia" w:ascii="黑体" w:hAnsi="黑体" w:eastAsia="黑体" w:cs="黑体"/>
          <w:b w:val="0"/>
          <w:bCs w:val="0"/>
          <w:color w:val="000000"/>
          <w:kern w:val="0"/>
          <w:sz w:val="40"/>
          <w:szCs w:val="40"/>
          <w:highlight w:val="none"/>
          <w:shd w:val="clear" w:color="auto" w:fill="FFFFFF"/>
          <w:lang w:eastAsia="zh-CN"/>
        </w:rPr>
        <w:t>）</w:t>
      </w:r>
    </w:p>
    <w:p w14:paraId="714BB861">
      <w:pPr>
        <w:autoSpaceDE/>
        <w:autoSpaceDN/>
        <w:adjustRightInd w:val="0"/>
        <w:snapToGrid w:val="0"/>
        <w:spacing w:line="300" w:lineRule="auto"/>
        <w:jc w:val="both"/>
        <w:rPr>
          <w:rFonts w:ascii="黑体" w:hAnsi="黑体" w:eastAsia="黑体" w:cs="黑体"/>
          <w:sz w:val="28"/>
          <w:szCs w:val="36"/>
          <w:highlight w:val="none"/>
          <w:lang w:val="en-US"/>
        </w:rPr>
      </w:pPr>
    </w:p>
    <w:p w14:paraId="082D428D">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shd w:val="clear" w:color="auto" w:fill="FFFFFF"/>
        </w:rPr>
      </w:pPr>
      <w:r>
        <w:rPr>
          <w:rFonts w:hint="eastAsia" w:ascii="仿宋" w:hAnsi="仿宋" w:eastAsia="仿宋" w:cs="仿宋"/>
          <w:b w:val="0"/>
          <w:bCs w:val="0"/>
          <w:color w:val="000000"/>
          <w:kern w:val="0"/>
          <w:sz w:val="28"/>
          <w:szCs w:val="28"/>
          <w:highlight w:val="none"/>
          <w:shd w:val="clear" w:color="auto" w:fill="FFFFFF"/>
          <w:lang w:val="en-US"/>
        </w:rPr>
        <w:t>合同编号：</w:t>
      </w:r>
    </w:p>
    <w:p w14:paraId="77B8A863">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shd w:val="clear" w:color="auto" w:fill="FFFFFF"/>
        </w:rPr>
      </w:pPr>
      <w:r>
        <w:rPr>
          <w:rFonts w:hint="eastAsia" w:ascii="仿宋" w:hAnsi="仿宋" w:eastAsia="仿宋" w:cs="仿宋"/>
          <w:b w:val="0"/>
          <w:bCs w:val="0"/>
          <w:color w:val="000000"/>
          <w:kern w:val="0"/>
          <w:sz w:val="28"/>
          <w:szCs w:val="28"/>
          <w:highlight w:val="none"/>
          <w:shd w:val="clear" w:color="auto" w:fill="FFFFFF"/>
        </w:rPr>
        <w:t>甲方（</w:t>
      </w:r>
      <w:r>
        <w:rPr>
          <w:rFonts w:hint="eastAsia" w:ascii="仿宋" w:hAnsi="仿宋" w:eastAsia="仿宋" w:cs="仿宋"/>
          <w:b w:val="0"/>
          <w:bCs w:val="0"/>
          <w:color w:val="000000"/>
          <w:kern w:val="0"/>
          <w:sz w:val="28"/>
          <w:szCs w:val="28"/>
          <w:highlight w:val="none"/>
          <w:shd w:val="clear" w:color="auto" w:fill="FFFFFF"/>
          <w:lang w:val="en-US" w:eastAsia="zh-CN"/>
        </w:rPr>
        <w:t>寄件人</w:t>
      </w:r>
      <w:r>
        <w:rPr>
          <w:rFonts w:hint="eastAsia" w:ascii="仿宋" w:hAnsi="仿宋" w:eastAsia="仿宋" w:cs="仿宋"/>
          <w:b w:val="0"/>
          <w:bCs w:val="0"/>
          <w:color w:val="000000"/>
          <w:kern w:val="0"/>
          <w:sz w:val="28"/>
          <w:szCs w:val="28"/>
          <w:highlight w:val="none"/>
          <w:shd w:val="clear" w:color="auto" w:fill="FFFFFF"/>
        </w:rPr>
        <w:t>）：</w:t>
      </w:r>
      <w:bookmarkStart w:id="6" w:name="OLE_LINK1"/>
    </w:p>
    <w:p w14:paraId="56938386">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shd w:val="clear" w:color="auto" w:fill="FFFFFF"/>
        </w:rPr>
      </w:pPr>
      <w:r>
        <w:rPr>
          <w:rFonts w:hint="eastAsia" w:ascii="仿宋" w:hAnsi="仿宋" w:eastAsia="仿宋" w:cs="仿宋"/>
          <w:b w:val="0"/>
          <w:bCs w:val="0"/>
          <w:color w:val="000000"/>
          <w:kern w:val="0"/>
          <w:sz w:val="28"/>
          <w:szCs w:val="28"/>
          <w:highlight w:val="none"/>
          <w:shd w:val="clear" w:color="auto" w:fill="FFFFFF"/>
        </w:rPr>
        <w:t>注册地址：</w:t>
      </w:r>
      <w:bookmarkEnd w:id="6"/>
    </w:p>
    <w:p w14:paraId="7F74FBBE">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shd w:val="clear" w:color="auto" w:fill="FFFFFF"/>
        </w:rPr>
      </w:pPr>
      <w:r>
        <w:rPr>
          <w:rFonts w:hint="eastAsia" w:ascii="仿宋" w:hAnsi="仿宋" w:eastAsia="仿宋" w:cs="仿宋"/>
          <w:b w:val="0"/>
          <w:bCs w:val="0"/>
          <w:color w:val="000000"/>
          <w:kern w:val="0"/>
          <w:sz w:val="28"/>
          <w:szCs w:val="28"/>
          <w:highlight w:val="none"/>
          <w:shd w:val="clear" w:color="auto" w:fill="FFFFFF"/>
        </w:rPr>
        <w:t>乙方（</w:t>
      </w:r>
      <w:r>
        <w:rPr>
          <w:rFonts w:hint="eastAsia" w:ascii="仿宋" w:hAnsi="仿宋" w:eastAsia="仿宋" w:cs="仿宋"/>
          <w:b w:val="0"/>
          <w:bCs w:val="0"/>
          <w:color w:val="000000"/>
          <w:kern w:val="0"/>
          <w:sz w:val="28"/>
          <w:szCs w:val="28"/>
          <w:highlight w:val="none"/>
          <w:shd w:val="clear" w:color="auto" w:fill="FFFFFF"/>
          <w:lang w:val="en-US" w:eastAsia="zh-CN"/>
        </w:rPr>
        <w:t>承运人</w:t>
      </w:r>
      <w:r>
        <w:rPr>
          <w:rFonts w:hint="eastAsia" w:ascii="仿宋" w:hAnsi="仿宋" w:eastAsia="仿宋" w:cs="仿宋"/>
          <w:b w:val="0"/>
          <w:bCs w:val="0"/>
          <w:color w:val="000000"/>
          <w:kern w:val="0"/>
          <w:sz w:val="28"/>
          <w:szCs w:val="28"/>
          <w:highlight w:val="none"/>
          <w:shd w:val="clear" w:color="auto" w:fill="FFFFFF"/>
        </w:rPr>
        <w:t>）：</w:t>
      </w:r>
    </w:p>
    <w:p w14:paraId="38D0DE6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u w:val="single"/>
          <w:shd w:val="clear" w:color="auto" w:fill="FFFFFF"/>
        </w:rPr>
      </w:pPr>
      <w:r>
        <w:rPr>
          <w:rFonts w:hint="eastAsia" w:ascii="仿宋" w:hAnsi="仿宋" w:eastAsia="仿宋" w:cs="仿宋"/>
          <w:b w:val="0"/>
          <w:bCs w:val="0"/>
          <w:color w:val="000000"/>
          <w:kern w:val="0"/>
          <w:sz w:val="28"/>
          <w:szCs w:val="28"/>
          <w:highlight w:val="none"/>
          <w:shd w:val="clear" w:color="auto" w:fill="FFFFFF"/>
        </w:rPr>
        <w:t>注册地址：</w:t>
      </w:r>
    </w:p>
    <w:p w14:paraId="1B07294D">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根据《中华人民共和国</w:t>
      </w:r>
      <w:r>
        <w:rPr>
          <w:rFonts w:hint="eastAsia" w:ascii="仿宋" w:hAnsi="仿宋" w:eastAsia="仿宋" w:cs="仿宋"/>
          <w:b w:val="0"/>
          <w:bCs w:val="0"/>
          <w:sz w:val="28"/>
          <w:szCs w:val="28"/>
          <w:highlight w:val="none"/>
          <w:lang w:val="en-US" w:eastAsia="zh-CN"/>
        </w:rPr>
        <w:t>民法典</w:t>
      </w:r>
      <w:r>
        <w:rPr>
          <w:rFonts w:hint="eastAsia" w:ascii="仿宋" w:hAnsi="仿宋" w:eastAsia="仿宋" w:cs="仿宋"/>
          <w:b w:val="0"/>
          <w:bCs w:val="0"/>
          <w:sz w:val="28"/>
          <w:szCs w:val="28"/>
          <w:highlight w:val="none"/>
        </w:rPr>
        <w:t>》、《中华人民共和国邮政法》等相关法律、法规的规定，经甲乙双方友好协商，在平等、自愿、公平的基础上，现就乙方为甲方提供国内货物收派服务，双方签订本合同，供双方共同遵守。</w:t>
      </w:r>
    </w:p>
    <w:p w14:paraId="31516FE4">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合同主要构成</w:t>
      </w:r>
    </w:p>
    <w:p w14:paraId="7C88BD90">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本合同正本；</w:t>
      </w:r>
    </w:p>
    <w:p w14:paraId="36F6CBE2">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甲方签署的运单</w:t>
      </w:r>
    </w:p>
    <w:p w14:paraId="4F1AD53A">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服务内容、区域及确认</w:t>
      </w:r>
    </w:p>
    <w:p w14:paraId="5D676B1C">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每单具体的服务方式以甲方签署的运单为准。</w:t>
      </w:r>
    </w:p>
    <w:p w14:paraId="4447AC1D">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服务区域：全国范围内（不含港澳台）</w:t>
      </w:r>
    </w:p>
    <w:p w14:paraId="13693B74">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服务确认：甲方可通过全国服务热线、终端APP、官网等下达收派指令</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甲方应当如实填写运单信息。</w:t>
      </w:r>
    </w:p>
    <w:p w14:paraId="6D9A6636">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费用及结算方式</w:t>
      </w:r>
    </w:p>
    <w:p w14:paraId="550AE151">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收派服务费（以下简称“服务费”）以运单上核定记载的金额为准。</w:t>
      </w:r>
    </w:p>
    <w:p w14:paraId="1587F3F8">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服务费计账周期：□本月首日至本月尾日；□本月</w:t>
      </w:r>
      <w:r>
        <w:rPr>
          <w:rFonts w:hint="eastAsia" w:ascii="仿宋" w:hAnsi="仿宋" w:eastAsia="仿宋" w:cs="仿宋"/>
          <w:b w:val="0"/>
          <w:bCs/>
          <w:color w:val="000000"/>
          <w:kern w:val="0"/>
          <w:sz w:val="28"/>
          <w:szCs w:val="28"/>
          <w:highlight w:val="none"/>
          <w:u w:val="single"/>
          <w:shd w:val="clear" w:color="auto" w:fill="FFFFFF"/>
          <w:lang w:val="en-US" w:eastAsia="zh-CN"/>
        </w:rPr>
        <w:t xml:space="preserve">  </w:t>
      </w:r>
      <w:r>
        <w:rPr>
          <w:rFonts w:hint="eastAsia" w:ascii="仿宋" w:hAnsi="仿宋" w:eastAsia="仿宋" w:cs="仿宋"/>
          <w:b w:val="0"/>
          <w:bCs/>
          <w:sz w:val="28"/>
          <w:szCs w:val="28"/>
          <w:highlight w:val="none"/>
        </w:rPr>
        <w:t>日至次月</w:t>
      </w:r>
      <w:r>
        <w:rPr>
          <w:rFonts w:hint="eastAsia" w:ascii="仿宋" w:hAnsi="仿宋" w:eastAsia="仿宋" w:cs="仿宋"/>
          <w:b w:val="0"/>
          <w:bCs/>
          <w:color w:val="000000"/>
          <w:kern w:val="0"/>
          <w:sz w:val="28"/>
          <w:szCs w:val="28"/>
          <w:highlight w:val="none"/>
          <w:u w:val="single"/>
          <w:shd w:val="clear" w:color="auto" w:fill="FFFFFF"/>
          <w:lang w:val="en-US" w:eastAsia="zh-CN"/>
        </w:rPr>
        <w:t xml:space="preserve"> </w:t>
      </w:r>
      <w:r>
        <w:rPr>
          <w:rFonts w:hint="eastAsia" w:ascii="仿宋" w:hAnsi="仿宋" w:eastAsia="仿宋" w:cs="仿宋"/>
          <w:b w:val="0"/>
          <w:bCs/>
          <w:sz w:val="28"/>
          <w:szCs w:val="28"/>
          <w:highlight w:val="none"/>
        </w:rPr>
        <w:t>日</w:t>
      </w:r>
    </w:p>
    <w:p w14:paraId="39E75610">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服务费对账</w:t>
      </w:r>
      <w:r>
        <w:rPr>
          <w:rFonts w:hint="eastAsia" w:ascii="仿宋" w:hAnsi="仿宋" w:eastAsia="仿宋" w:cs="仿宋"/>
          <w:b w:val="0"/>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198120</wp:posOffset>
                </wp:positionV>
                <wp:extent cx="635" cy="0"/>
                <wp:effectExtent l="0" t="4445" r="0" b="5080"/>
                <wp:wrapNone/>
                <wp:docPr id="3"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35pt;margin-top:15.6pt;height:0pt;width:0.05pt;z-index:251659264;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ql76O1QAAAAkBAAAPAAAAAAAA&#10;AAEAIAAAACIAAABkcnMvZG93bnJldi54bWxQSwECFAAUAAAACACHTuJAnn/izNwBAADjAwAADgAA&#10;AAAAAAABACAAAAAk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乙方于服务费计账周期结束后5日内向甲方发收派服务费的月结账单。甲方如对该月结账单的内容持有异议，应在收到乙方月结账单之日起</w:t>
      </w:r>
      <w:r>
        <w:rPr>
          <w:rFonts w:hint="eastAsia" w:ascii="仿宋" w:hAnsi="仿宋" w:eastAsia="仿宋" w:cs="仿宋"/>
          <w:b w:val="0"/>
          <w:bCs/>
          <w:sz w:val="28"/>
          <w:szCs w:val="28"/>
          <w:highlight w:val="none"/>
          <w:lang w:val="en-US" w:eastAsia="zh-CN"/>
        </w:rPr>
        <w:t>三</w:t>
      </w:r>
      <w:r>
        <w:rPr>
          <w:rFonts w:hint="eastAsia" w:ascii="仿宋" w:hAnsi="仿宋" w:eastAsia="仿宋" w:cs="仿宋"/>
          <w:b w:val="0"/>
          <w:bCs/>
          <w:sz w:val="28"/>
          <w:szCs w:val="28"/>
          <w:highlight w:val="none"/>
        </w:rPr>
        <w:t>个工作日内回复乙方，否则视为甲方认可该月结账单的内容准确、真实。甲乙双方应在甲方提出异议之日起</w:t>
      </w:r>
      <w:r>
        <w:rPr>
          <w:rFonts w:hint="eastAsia" w:ascii="仿宋" w:hAnsi="仿宋" w:eastAsia="仿宋" w:cs="仿宋"/>
          <w:b w:val="0"/>
          <w:bCs/>
          <w:sz w:val="28"/>
          <w:szCs w:val="28"/>
          <w:highlight w:val="none"/>
          <w:lang w:val="en-US" w:eastAsia="zh-CN"/>
        </w:rPr>
        <w:t>X</w:t>
      </w:r>
      <w:r>
        <w:rPr>
          <w:rFonts w:hint="eastAsia" w:ascii="仿宋" w:hAnsi="仿宋" w:eastAsia="仿宋" w:cs="仿宋"/>
          <w:b w:val="0"/>
          <w:bCs/>
          <w:sz w:val="28"/>
          <w:szCs w:val="28"/>
          <w:highlight w:val="none"/>
        </w:rPr>
        <w:t>个工作日内,共同完成有异议部分服务费的核对和确认手续。</w:t>
      </w:r>
    </w:p>
    <w:p w14:paraId="2075377D">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4、</w:t>
      </w:r>
      <w:r>
        <w:rPr>
          <w:rFonts w:hint="eastAsia" w:ascii="仿宋" w:hAnsi="仿宋" w:eastAsia="仿宋" w:cs="仿宋"/>
          <w:b w:val="0"/>
          <w:bCs/>
          <w:sz w:val="28"/>
          <w:szCs w:val="28"/>
          <w:highlight w:val="none"/>
        </w:rPr>
        <w:t>甲方</w:t>
      </w:r>
      <w:r>
        <w:rPr>
          <w:rFonts w:hint="eastAsia" w:ascii="仿宋" w:hAnsi="仿宋" w:eastAsia="仿宋" w:cs="仿宋"/>
          <w:b w:val="0"/>
          <w:bCs/>
          <w:sz w:val="28"/>
          <w:szCs w:val="28"/>
          <w:highlight w:val="none"/>
          <w:lang w:val="en-US" w:eastAsia="zh-CN"/>
        </w:rPr>
        <w:t>应</w:t>
      </w:r>
      <w:r>
        <w:rPr>
          <w:rFonts w:hint="eastAsia" w:ascii="仿宋" w:hAnsi="仿宋" w:eastAsia="仿宋" w:cs="仿宋"/>
          <w:b w:val="0"/>
          <w:bCs/>
          <w:sz w:val="28"/>
          <w:szCs w:val="28"/>
          <w:highlight w:val="none"/>
        </w:rPr>
        <w:t>于</w:t>
      </w:r>
      <w:r>
        <w:rPr>
          <w:rFonts w:hint="eastAsia" w:ascii="仿宋" w:hAnsi="仿宋" w:eastAsia="仿宋" w:cs="仿宋"/>
          <w:b w:val="0"/>
          <w:bCs/>
          <w:sz w:val="28"/>
          <w:szCs w:val="28"/>
          <w:highlight w:val="none"/>
          <w:lang w:val="en-US" w:eastAsia="zh-CN"/>
        </w:rPr>
        <w:t>x</w:t>
      </w:r>
      <w:r>
        <w:rPr>
          <w:rFonts w:hint="eastAsia" w:ascii="仿宋" w:hAnsi="仿宋" w:eastAsia="仿宋" w:cs="仿宋"/>
          <w:b w:val="0"/>
          <w:bCs/>
          <w:sz w:val="28"/>
          <w:szCs w:val="28"/>
          <w:highlight w:val="none"/>
        </w:rPr>
        <w:t>月</w:t>
      </w:r>
      <w:r>
        <w:rPr>
          <w:rFonts w:hint="eastAsia" w:ascii="仿宋" w:hAnsi="仿宋" w:eastAsia="仿宋" w:cs="仿宋"/>
          <w:b w:val="0"/>
          <w:bCs/>
          <w:sz w:val="28"/>
          <w:szCs w:val="28"/>
          <w:highlight w:val="none"/>
          <w:lang w:val="en-US" w:eastAsia="zh-CN"/>
        </w:rPr>
        <w:t>x</w:t>
      </w:r>
      <w:r>
        <w:rPr>
          <w:rFonts w:hint="eastAsia" w:ascii="仿宋" w:hAnsi="仿宋" w:eastAsia="仿宋" w:cs="仿宋"/>
          <w:b w:val="0"/>
          <w:bCs/>
          <w:sz w:val="28"/>
          <w:szCs w:val="28"/>
          <w:highlight w:val="none"/>
        </w:rPr>
        <w:t>日前付清上月应付服务费。甲方采取转账方式支付。</w:t>
      </w:r>
    </w:p>
    <w:p w14:paraId="1323A7B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5、甲方付款前，乙方应</w:t>
      </w:r>
      <w:r>
        <w:rPr>
          <w:rFonts w:hint="eastAsia" w:ascii="仿宋" w:hAnsi="仿宋" w:eastAsia="仿宋" w:cs="仿宋"/>
          <w:b w:val="0"/>
          <w:bCs/>
          <w:sz w:val="28"/>
          <w:szCs w:val="28"/>
          <w:highlight w:val="none"/>
        </w:rPr>
        <w:t>开具</w:t>
      </w:r>
      <w:r>
        <w:rPr>
          <w:rFonts w:hint="eastAsia" w:ascii="仿宋" w:hAnsi="仿宋" w:eastAsia="仿宋" w:cs="仿宋"/>
          <w:b w:val="0"/>
          <w:bCs/>
          <w:sz w:val="28"/>
          <w:szCs w:val="28"/>
          <w:highlight w:val="none"/>
          <w:lang w:val="en-US" w:eastAsia="zh-CN"/>
        </w:rPr>
        <w:t>符合甲方要求的</w:t>
      </w:r>
      <w:r>
        <w:rPr>
          <w:rFonts w:hint="eastAsia" w:ascii="仿宋" w:hAnsi="仿宋" w:eastAsia="仿宋" w:cs="仿宋"/>
          <w:b w:val="0"/>
          <w:bCs/>
          <w:sz w:val="28"/>
          <w:szCs w:val="28"/>
          <w:highlight w:val="none"/>
        </w:rPr>
        <w:t>月结收派服务费发票，</w:t>
      </w:r>
      <w:r>
        <w:rPr>
          <w:rFonts w:hint="eastAsia" w:ascii="仿宋" w:hAnsi="仿宋" w:eastAsia="仿宋" w:cs="仿宋"/>
          <w:b w:val="0"/>
          <w:bCs/>
          <w:sz w:val="28"/>
          <w:szCs w:val="28"/>
          <w:highlight w:val="none"/>
          <w:lang w:val="en-US" w:eastAsia="zh-CN"/>
        </w:rPr>
        <w:t>否则甲方有权迟延付款且并不承担任何违约责任</w:t>
      </w:r>
      <w:r>
        <w:rPr>
          <w:rFonts w:hint="eastAsia" w:ascii="仿宋" w:hAnsi="仿宋" w:eastAsia="仿宋" w:cs="仿宋"/>
          <w:b w:val="0"/>
          <w:bCs/>
          <w:sz w:val="28"/>
          <w:szCs w:val="28"/>
          <w:highlight w:val="none"/>
        </w:rPr>
        <w:t>。服务费的税率为</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w:t>
      </w:r>
    </w:p>
    <w:p w14:paraId="64B02828">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保价</w:t>
      </w:r>
    </w:p>
    <w:p w14:paraId="13259E27">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08" w:firstLineChars="200"/>
        <w:jc w:val="left"/>
        <w:textAlignment w:val="auto"/>
        <w:rPr>
          <w:rFonts w:hint="eastAsia" w:ascii="仿宋" w:hAnsi="仿宋" w:eastAsia="仿宋" w:cs="仿宋"/>
          <w:b w:val="0"/>
          <w:bCs/>
          <w:color w:val="000000" w:themeColor="text1"/>
          <w:spacing w:val="12"/>
          <w:sz w:val="28"/>
          <w:szCs w:val="28"/>
          <w:highlight w:val="none"/>
          <w14:textFill>
            <w14:solidFill>
              <w14:schemeClr w14:val="tx1"/>
            </w14:solidFill>
          </w14:textFill>
        </w:rPr>
      </w:pPr>
      <w:r>
        <w:rPr>
          <w:rFonts w:hint="eastAsia" w:ascii="仿宋" w:hAnsi="仿宋" w:eastAsia="仿宋" w:cs="仿宋"/>
          <w:b w:val="0"/>
          <w:bCs/>
          <w:color w:val="000000" w:themeColor="text1"/>
          <w:spacing w:val="12"/>
          <w:sz w:val="28"/>
          <w:szCs w:val="28"/>
          <w:highlight w:val="none"/>
          <w:lang w:val="en-US" w:eastAsia="zh-CN"/>
          <w14:textFill>
            <w14:solidFill>
              <w14:schemeClr w14:val="tx1"/>
            </w14:solidFill>
          </w14:textFill>
        </w:rPr>
        <w:t>1、</w:t>
      </w:r>
      <w:r>
        <w:rPr>
          <w:rFonts w:hint="eastAsia" w:ascii="仿宋" w:hAnsi="仿宋" w:eastAsia="仿宋" w:cs="仿宋"/>
          <w:b w:val="0"/>
          <w:bCs/>
          <w:color w:val="000000" w:themeColor="text1"/>
          <w:spacing w:val="12"/>
          <w:sz w:val="28"/>
          <w:szCs w:val="28"/>
          <w:highlight w:val="none"/>
          <w14:textFill>
            <w14:solidFill>
              <w14:schemeClr w14:val="tx1"/>
            </w14:solidFill>
          </w14:textFill>
        </w:rPr>
        <w:t>甲方可以自愿对托寄物办理商业保险，对贵重物品和单票价值超过人民币</w:t>
      </w:r>
      <w:r>
        <w:rPr>
          <w:rFonts w:hint="eastAsia" w:ascii="仿宋" w:hAnsi="仿宋" w:eastAsia="仿宋" w:cs="仿宋"/>
          <w:b w:val="0"/>
          <w:bCs/>
          <w:color w:val="000000" w:themeColor="text1"/>
          <w:spacing w:val="12"/>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pacing w:val="12"/>
          <w:sz w:val="28"/>
          <w:szCs w:val="28"/>
          <w:highlight w:val="none"/>
          <w14:textFill>
            <w14:solidFill>
              <w14:schemeClr w14:val="tx1"/>
            </w14:solidFill>
          </w14:textFill>
        </w:rPr>
        <w:t>元的托寄物应尽量办理保价。</w:t>
      </w:r>
    </w:p>
    <w:p w14:paraId="0367482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保价费为声明托寄物价值的</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。保价费的支付独立于服务费之外。甲乙双方另行约定保价费率的，需在运单上注明。</w:t>
      </w:r>
    </w:p>
    <w:p w14:paraId="772346E0">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保价效力：寄件人需按实际情况填写托寄物的声明价值，并按运单约定缴纳保价费。未声明价值或未交保费的，视为未保价。</w:t>
      </w:r>
    </w:p>
    <w:p w14:paraId="5C1D4356">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货损赔偿</w:t>
      </w:r>
    </w:p>
    <w:p w14:paraId="194534D3">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如发生毁损、灭失的，甲方须于该票货物正常派送时间起三个日内以书面形式或通过乙方客户服务热线电话向乙方提出索赔要求，并附相关证明文件，乙方接纳相关证明文件后48小时内答复是否受理。</w:t>
      </w:r>
    </w:p>
    <w:p w14:paraId="302880E3">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未保价的，在托寄物派送过程中，如因乙方过错导致托寄物</w:t>
      </w:r>
      <w:bookmarkStart w:id="7" w:name="OLE_LINK5"/>
      <w:r>
        <w:rPr>
          <w:rFonts w:hint="eastAsia" w:ascii="仿宋" w:hAnsi="仿宋" w:eastAsia="仿宋" w:cs="仿宋"/>
          <w:b w:val="0"/>
          <w:bCs/>
          <w:sz w:val="28"/>
          <w:szCs w:val="28"/>
          <w:highlight w:val="none"/>
        </w:rPr>
        <w:t>毁损、灭失的</w:t>
      </w:r>
      <w:bookmarkEnd w:id="7"/>
      <w:r>
        <w:rPr>
          <w:rFonts w:hint="eastAsia" w:ascii="仿宋" w:hAnsi="仿宋" w:eastAsia="仿宋" w:cs="仿宋"/>
          <w:b w:val="0"/>
          <w:bCs/>
          <w:sz w:val="28"/>
          <w:szCs w:val="28"/>
          <w:highlight w:val="none"/>
        </w:rPr>
        <w:t>，按托寄物的实际损毁价值赔偿。</w:t>
      </w:r>
    </w:p>
    <w:p w14:paraId="2ECC595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已保价的，在保险金额限额内按托寄物的实际损毁价值赔偿。 货物全部灭失，按货物保价声明价值赔偿；货物部分毁损或灭失，按声明价值和损失比例赔偿。</w:t>
      </w:r>
    </w:p>
    <w:p w14:paraId="35B41CA9">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双方的权利义务</w:t>
      </w:r>
    </w:p>
    <w:p w14:paraId="042E49DB">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甲方的权利义务</w:t>
      </w:r>
    </w:p>
    <w:p w14:paraId="20A533BB">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color w:val="000000"/>
          <w:kern w:val="2"/>
          <w:sz w:val="28"/>
          <w:szCs w:val="28"/>
          <w:highlight w:val="none"/>
          <w:lang w:val="en-US" w:eastAsia="zh-CN" w:bidi="ar-SA"/>
        </w:rPr>
        <w:t>（1）</w:t>
      </w:r>
      <w:r>
        <w:rPr>
          <w:rFonts w:hint="eastAsia" w:ascii="仿宋" w:hAnsi="仿宋" w:eastAsia="仿宋" w:cs="仿宋"/>
          <w:b w:val="0"/>
          <w:bCs/>
          <w:sz w:val="28"/>
          <w:szCs w:val="28"/>
          <w:highlight w:val="none"/>
        </w:rPr>
        <w:t>甲方有权要求乙方按委托的时间、地点、方式将货物运送至目的地；有权了解货物的在途信息。在未办理提货、发货手续前，甲方有权变更或取消委托运单</w:t>
      </w:r>
      <w:r>
        <w:rPr>
          <w:rFonts w:hint="eastAsia" w:ascii="仿宋" w:hAnsi="仿宋" w:eastAsia="仿宋" w:cs="仿宋"/>
          <w:b w:val="0"/>
          <w:bCs/>
          <w:sz w:val="28"/>
          <w:szCs w:val="28"/>
          <w:highlight w:val="none"/>
          <w:lang w:eastAsia="zh-CN"/>
        </w:rPr>
        <w:t>。</w:t>
      </w:r>
    </w:p>
    <w:p w14:paraId="089D48DB">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（2）</w:t>
      </w:r>
      <w:r>
        <w:rPr>
          <w:rFonts w:hint="eastAsia" w:ascii="仿宋" w:hAnsi="仿宋" w:eastAsia="仿宋" w:cs="仿宋"/>
          <w:b w:val="0"/>
          <w:bCs/>
          <w:sz w:val="28"/>
          <w:szCs w:val="28"/>
          <w:highlight w:val="none"/>
        </w:rPr>
        <w:t>甲方有权要求乙方随时提供甲方所委托业务的进展情况、服务过程中的信息反馈（不可提供的快递行业机密或涉及乙方商业信息的除外）。</w:t>
      </w:r>
    </w:p>
    <w:p w14:paraId="39129B02">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（3）</w:t>
      </w:r>
      <w:r>
        <w:rPr>
          <w:rFonts w:hint="eastAsia" w:ascii="仿宋" w:hAnsi="仿宋" w:eastAsia="仿宋" w:cs="仿宋"/>
          <w:b w:val="0"/>
          <w:bCs/>
          <w:sz w:val="28"/>
          <w:szCs w:val="28"/>
          <w:highlight w:val="none"/>
        </w:rPr>
        <w:t>甲方在托寄物品时，应如实申报托寄物内容、数量、声明价值、品名等资料，准确、真实地填写快递运单之各项内容。</w:t>
      </w:r>
    </w:p>
    <w:p w14:paraId="43EFD72A">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（4）</w:t>
      </w:r>
      <w:r>
        <w:rPr>
          <w:rFonts w:hint="eastAsia" w:ascii="仿宋" w:hAnsi="仿宋" w:eastAsia="仿宋" w:cs="仿宋"/>
          <w:b w:val="0"/>
          <w:bCs/>
          <w:sz w:val="28"/>
          <w:szCs w:val="28"/>
          <w:highlight w:val="none"/>
        </w:rPr>
        <w:t>甲方有权对乙方及乙方代表和相关工作人员的工作提出意见、要求改进。</w:t>
      </w:r>
    </w:p>
    <w:p w14:paraId="69384CB6">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（5）</w:t>
      </w:r>
      <w:r>
        <w:rPr>
          <w:rFonts w:hint="eastAsia" w:ascii="仿宋" w:hAnsi="仿宋" w:eastAsia="仿宋" w:cs="仿宋"/>
          <w:b w:val="0"/>
          <w:bCs/>
          <w:sz w:val="28"/>
          <w:szCs w:val="28"/>
          <w:highlight w:val="none"/>
        </w:rPr>
        <w:t>甲方托寄物品时应遵守国家相关规定，符合国家法律法规的要求，不属于禁止生产、销售、传播的物品，不属于禁止或限制寄递的违禁品、假冒伪劣产品。</w:t>
      </w:r>
    </w:p>
    <w:p w14:paraId="3D49424A">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（6）</w:t>
      </w:r>
      <w:r>
        <w:rPr>
          <w:rFonts w:hint="eastAsia" w:ascii="仿宋" w:hAnsi="仿宋" w:eastAsia="仿宋" w:cs="仿宋"/>
          <w:b w:val="0"/>
          <w:bCs/>
          <w:sz w:val="28"/>
          <w:szCs w:val="28"/>
          <w:highlight w:val="none"/>
        </w:rPr>
        <w:t>甲方在隐瞒或虚报货物情况或在普通货物中夹带、匿报危险品、违禁品或其他违反邮政规定的行为，甲方承担违约责任</w:t>
      </w:r>
      <w:r>
        <w:rPr>
          <w:rFonts w:hint="eastAsia" w:ascii="仿宋" w:hAnsi="仿宋" w:eastAsia="仿宋" w:cs="仿宋"/>
          <w:b w:val="0"/>
          <w:bCs/>
          <w:sz w:val="28"/>
          <w:szCs w:val="28"/>
          <w:highlight w:val="none"/>
          <w:lang w:eastAsia="zh-CN"/>
        </w:rPr>
        <w:t>。</w:t>
      </w:r>
    </w:p>
    <w:p w14:paraId="0EFC569D">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（7）</w:t>
      </w:r>
      <w:r>
        <w:rPr>
          <w:rFonts w:hint="eastAsia" w:ascii="仿宋" w:hAnsi="仿宋" w:eastAsia="仿宋" w:cs="仿宋"/>
          <w:b w:val="0"/>
          <w:bCs/>
          <w:sz w:val="28"/>
          <w:szCs w:val="28"/>
          <w:highlight w:val="none"/>
        </w:rPr>
        <w:t>甲方客户收到乙方派送的货物时有权要求先开箱验货再签收，乙方不得无故阻拦或拒绝配合。</w:t>
      </w:r>
    </w:p>
    <w:p w14:paraId="417A2BEF">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乙方的权利义务</w:t>
      </w:r>
    </w:p>
    <w:p w14:paraId="243D7B81">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color w:val="000000"/>
          <w:kern w:val="2"/>
          <w:sz w:val="28"/>
          <w:szCs w:val="28"/>
          <w:highlight w:val="none"/>
          <w:lang w:val="en-US" w:eastAsia="zh-CN" w:bidi="ar-SA"/>
        </w:rPr>
        <w:t>（1）</w:t>
      </w:r>
      <w:r>
        <w:rPr>
          <w:rFonts w:hint="eastAsia" w:ascii="仿宋" w:hAnsi="仿宋" w:eastAsia="仿宋" w:cs="仿宋"/>
          <w:b w:val="0"/>
          <w:bCs/>
          <w:sz w:val="28"/>
          <w:szCs w:val="28"/>
          <w:highlight w:val="none"/>
        </w:rPr>
        <w:t>乙方应在服务过程中就收派服务能力、时间及安全可靠性等方面满足甲方的需求，确保服务质量</w:t>
      </w:r>
      <w:r>
        <w:rPr>
          <w:rFonts w:hint="eastAsia" w:ascii="仿宋" w:hAnsi="仿宋" w:eastAsia="仿宋" w:cs="仿宋"/>
          <w:b w:val="0"/>
          <w:bCs/>
          <w:sz w:val="28"/>
          <w:szCs w:val="28"/>
          <w:highlight w:val="none"/>
          <w:lang w:eastAsia="zh-CN"/>
        </w:rPr>
        <w:t>。</w:t>
      </w:r>
    </w:p>
    <w:p w14:paraId="28409B77">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（2）</w:t>
      </w:r>
      <w:r>
        <w:rPr>
          <w:rFonts w:hint="eastAsia" w:ascii="仿宋" w:hAnsi="仿宋" w:eastAsia="仿宋" w:cs="仿宋"/>
          <w:b w:val="0"/>
          <w:bCs/>
          <w:sz w:val="28"/>
          <w:szCs w:val="28"/>
          <w:highlight w:val="none"/>
        </w:rPr>
        <w:t>乙方应在甲方通知提货时及时到达甲方指定地点提货并办理各项服务事项。</w:t>
      </w:r>
    </w:p>
    <w:p w14:paraId="3941EE53">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（3）</w:t>
      </w:r>
      <w:r>
        <w:rPr>
          <w:rFonts w:hint="eastAsia" w:ascii="仿宋" w:hAnsi="仿宋" w:eastAsia="仿宋" w:cs="仿宋"/>
          <w:b w:val="0"/>
          <w:bCs/>
          <w:sz w:val="28"/>
          <w:szCs w:val="28"/>
          <w:highlight w:val="none"/>
        </w:rPr>
        <w:t>就已起运的货物，双方应保持良好的联系，乙方对托寄物的在途风险承担责任，如在途遇突发事件或其它异常情况出现，乙方应如实报告甲方，并视情况进行紧急处理或与甲方协商解决。</w:t>
      </w:r>
    </w:p>
    <w:p w14:paraId="0D5F312A">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（4）</w:t>
      </w:r>
      <w:r>
        <w:rPr>
          <w:rFonts w:hint="eastAsia" w:ascii="仿宋" w:hAnsi="仿宋" w:eastAsia="仿宋" w:cs="仿宋"/>
          <w:b w:val="0"/>
          <w:bCs/>
          <w:sz w:val="28"/>
          <w:szCs w:val="28"/>
          <w:highlight w:val="none"/>
        </w:rPr>
        <w:t>乙方不得擅自改动甲方的包装标准，收货人验货前，乙方保证甲方货物包装完好，封条完整，但是，法律、法规规定需要接受有关部门检查及乙方为保护甲方利益采取的必要措施除外。</w:t>
      </w:r>
    </w:p>
    <w:p w14:paraId="07DB7F26">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（5）</w:t>
      </w:r>
      <w:r>
        <w:rPr>
          <w:rFonts w:hint="eastAsia" w:ascii="仿宋" w:hAnsi="仿宋" w:eastAsia="仿宋" w:cs="仿宋"/>
          <w:b w:val="0"/>
          <w:bCs/>
          <w:sz w:val="28"/>
          <w:szCs w:val="28"/>
          <w:highlight w:val="none"/>
        </w:rPr>
        <w:t>乙方有权要求收货人以书面形式签收货物并按照约定收取费用。</w:t>
      </w:r>
    </w:p>
    <w:p w14:paraId="4F688CEF">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（3）</w:t>
      </w:r>
      <w:r>
        <w:rPr>
          <w:rFonts w:hint="eastAsia" w:ascii="仿宋" w:hAnsi="仿宋" w:eastAsia="仿宋" w:cs="仿宋"/>
          <w:b w:val="0"/>
          <w:bCs/>
          <w:sz w:val="28"/>
          <w:szCs w:val="28"/>
          <w:highlight w:val="none"/>
        </w:rPr>
        <w:t>乙方到达目的地有义务提前通知甲方指定收货人准备接收货物。当乙方查不到收货人或收货人拒绝提取货物，乙方应及时与甲方联系，在双方确认的期限内负责保管。对于超过规定期限，仍无法交付的货物，乙方有权通知甲方并提出相关的处理意见。</w:t>
      </w:r>
    </w:p>
    <w:p w14:paraId="10BC153C">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（4）</w:t>
      </w:r>
      <w:r>
        <w:rPr>
          <w:rFonts w:hint="eastAsia" w:ascii="仿宋" w:hAnsi="仿宋" w:eastAsia="仿宋" w:cs="仿宋"/>
          <w:b w:val="0"/>
          <w:bCs/>
          <w:sz w:val="28"/>
          <w:szCs w:val="28"/>
          <w:highlight w:val="none"/>
        </w:rPr>
        <w:t>乙方有权按照本合同及附件向甲方收取服务费，根据甲方选择的附加服务收取附加费用（如当日达、保价费用等）。</w:t>
      </w:r>
    </w:p>
    <w:p w14:paraId="448CFE29">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（5）</w:t>
      </w:r>
      <w:r>
        <w:rPr>
          <w:rFonts w:hint="eastAsia" w:ascii="仿宋" w:hAnsi="仿宋" w:eastAsia="仿宋" w:cs="仿宋"/>
          <w:b w:val="0"/>
          <w:bCs/>
          <w:sz w:val="28"/>
          <w:szCs w:val="28"/>
          <w:highlight w:val="none"/>
        </w:rPr>
        <w:t>根据国家法律法规的规定，应国家司法、行政机关的要求，或出于安检的需要，乙方可以对托寄物开箱验视。如发现托寄物属于不予寄递范围或含有禁寄物品，乙方有权拒收或退回，并有权收取所发生的实际费用。</w:t>
      </w:r>
    </w:p>
    <w:p w14:paraId="6F48D5A0">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违约责任</w:t>
      </w:r>
    </w:p>
    <w:p w14:paraId="2B7D8181">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1、乙方须保证甲方快件的顺利到达(不可抗因素除外)，若因甲方原因造成乙方所寄邮件、包裹丢失，甲方按每票【】元赔偿乙方;若乙方在快件约定保值金额，则需按照乙方保值金额进行赔偿。</w:t>
      </w:r>
    </w:p>
    <w:p w14:paraId="4419A003">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2、乙方须保证甲方快件的顺利到达(不可抗因素除外)，甲乙双方在快件寄发之前若有约定到达时间，甲方必须在约定时间内送达;若因甲方未按约定及时送达造成乙方经济损失的，则甲方需按照乙方保值金额或快件签订金额的【】进行赔偿。</w:t>
      </w:r>
    </w:p>
    <w:p w14:paraId="19D5C22A">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不可抗力</w:t>
      </w:r>
    </w:p>
    <w:p w14:paraId="7A88B5C0">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就本合同而言，双方同意不可抗力系指不能预见、不能避免并不能克服的客观或意外事件，包括但不限于严重的自然灾害（如地震、洪水、泥石流、火灾等自然灾害）、恶劣的天气（台风、暴雪雨、雾霾等）、严重的社会混乱（如罢工、战争、流行病、恐怖袭击或民乱）或中国中央政府或地方政府的主管部门或机关颁布在根本上妨碍本合同履行的法律、法规。</w:t>
      </w:r>
    </w:p>
    <w:p w14:paraId="5C47A9E1">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如发生不可抗力事件，受不可抗力事件影响的一方在本合同项下的义务在不可抗力造成的延误期内应中止履行，并按中止的时间自动顺延履行其义务，根据不可抗力造成的影响，双方互不担责。</w:t>
      </w:r>
    </w:p>
    <w:p w14:paraId="38AD914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宣称发生不可抗力的一方应在发生不可抗力事件后立即书面通知另一方，并在其后十天内提供不可抗力发生和持续时间及该不可抗力对该方履行本合同之能力的影响的充分证据。此外，宣称发生不可抗力的一方应尽一切努力将不可抗力事件影响降到最低。</w:t>
      </w:r>
    </w:p>
    <w:p w14:paraId="1E18CD3F">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保密条款</w:t>
      </w:r>
    </w:p>
    <w:p w14:paraId="2A4F1444">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 xml:space="preserve">甲乙双方（其在职员工及签订本合同后离职的员工违反此条款的都由其所属方承担责任）均须严格保守在履行本合同过程中获知的对方的商业秘密。一方以任何不正当方式获取另一方商业秘密的（包括但不限于贿赂、刺探等），需承担相应的违约责任。 </w:t>
      </w:r>
    </w:p>
    <w:p w14:paraId="37B08FF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甲乙双方在履行本合同过程中，对所获得的对方的任何形式和内容的信息、资料（包括但不限于商业经营、业务、技术方面的信息、资料）、合同内容等承担保密义务。双方不得为本合同目的以外使用上述信息、资料，并不得向第三方披露、许可使用。</w:t>
      </w:r>
    </w:p>
    <w:p w14:paraId="57E244E1">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乙方的秘密资料包括但不限于由乙方向甲方通过口头、书面、电子或其他方式提供的一切报价数据表、报告、信息等内容。</w:t>
      </w:r>
    </w:p>
    <w:p w14:paraId="6BE3665D">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bCs w:val="0"/>
          <w:sz w:val="28"/>
          <w:szCs w:val="28"/>
          <w:highlight w:val="none"/>
        </w:rPr>
        <w:t>变更和解除</w:t>
      </w:r>
      <w:r>
        <w:rPr>
          <w:rFonts w:hint="eastAsia" w:ascii="仿宋" w:hAnsi="仿宋" w:eastAsia="仿宋" w:cs="仿宋"/>
          <w:b/>
          <w:bCs w:val="0"/>
          <w:sz w:val="28"/>
          <w:szCs w:val="28"/>
          <w:highlight w:val="none"/>
          <w:lang w:val="en-US" w:eastAsia="zh-CN"/>
        </w:rPr>
        <w:t>:</w:t>
      </w:r>
      <w:r>
        <w:rPr>
          <w:rFonts w:hint="eastAsia" w:ascii="仿宋" w:hAnsi="仿宋" w:eastAsia="仿宋" w:cs="仿宋"/>
          <w:b w:val="0"/>
          <w:bCs/>
          <w:sz w:val="28"/>
          <w:szCs w:val="28"/>
          <w:highlight w:val="none"/>
        </w:rPr>
        <w:t>合同期内甲乙双方不得擅自变更或解除合同，如果确有特殊原因不能继续履行或者需要变更时，需经甲乙双方书面同意。变更或解除必须提前30天提出书面意见与对方协商，双方协商一致可以变更、解除、终止本合同。</w:t>
      </w:r>
    </w:p>
    <w:p w14:paraId="544F757B">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bCs w:val="0"/>
          <w:sz w:val="28"/>
          <w:szCs w:val="28"/>
          <w:highlight w:val="none"/>
        </w:rPr>
        <w:t>合同期限：</w:t>
      </w:r>
      <w:r>
        <w:rPr>
          <w:rFonts w:hint="eastAsia" w:ascii="仿宋" w:hAnsi="仿宋" w:eastAsia="仿宋" w:cs="仿宋"/>
          <w:b w:val="0"/>
          <w:bCs/>
          <w:sz w:val="28"/>
          <w:szCs w:val="28"/>
          <w:highlight w:val="none"/>
          <w:lang w:val="en-US" w:eastAsia="zh-CN"/>
        </w:rPr>
        <w:t>年   月   日—年   月   日。</w:t>
      </w:r>
    </w:p>
    <w:p w14:paraId="771E526D">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其他条款</w:t>
      </w:r>
    </w:p>
    <w:p w14:paraId="53405B44">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本合同未尽事宜，双方应友好协商签订补充协议。补充协议与本合同具有同等法律效力。</w:t>
      </w:r>
    </w:p>
    <w:p w14:paraId="44F741D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双方对本合同的履行发生争议时，应友好协商解决。协商不成时，双方均可向</w:t>
      </w:r>
      <w:r>
        <w:rPr>
          <w:rFonts w:hint="eastAsia" w:ascii="仿宋" w:hAnsi="仿宋" w:eastAsia="仿宋" w:cs="仿宋"/>
          <w:b w:val="0"/>
          <w:bCs/>
          <w:sz w:val="28"/>
          <w:szCs w:val="28"/>
          <w:highlight w:val="none"/>
          <w:lang w:val="en-US" w:eastAsia="zh-CN"/>
        </w:rPr>
        <w:t>甲</w:t>
      </w:r>
      <w:r>
        <w:rPr>
          <w:rFonts w:hint="eastAsia" w:ascii="仿宋" w:hAnsi="仿宋" w:eastAsia="仿宋" w:cs="仿宋"/>
          <w:b w:val="0"/>
          <w:bCs/>
          <w:sz w:val="28"/>
          <w:szCs w:val="28"/>
          <w:highlight w:val="none"/>
        </w:rPr>
        <w:t>方住所地</w:t>
      </w:r>
      <w:r>
        <w:rPr>
          <w:rFonts w:hint="eastAsia" w:ascii="仿宋" w:hAnsi="仿宋" w:eastAsia="仿宋" w:cs="仿宋"/>
          <w:b w:val="0"/>
          <w:bCs/>
          <w:sz w:val="28"/>
          <w:szCs w:val="28"/>
          <w:highlight w:val="none"/>
          <w:lang w:val="en-US" w:eastAsia="zh-CN"/>
        </w:rPr>
        <w:t>有管辖权的</w:t>
      </w:r>
      <w:r>
        <w:rPr>
          <w:rFonts w:hint="eastAsia" w:ascii="仿宋" w:hAnsi="仿宋" w:eastAsia="仿宋" w:cs="仿宋"/>
          <w:b w:val="0"/>
          <w:bCs/>
          <w:sz w:val="28"/>
          <w:szCs w:val="28"/>
          <w:highlight w:val="none"/>
        </w:rPr>
        <w:t>人民法院提起诉讼。</w:t>
      </w:r>
    </w:p>
    <w:p w14:paraId="266386F1">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黑体" w:hAnsi="黑体" w:eastAsia="黑体" w:cs="黑体"/>
          <w:sz w:val="28"/>
          <w:szCs w:val="36"/>
          <w:highlight w:val="none"/>
          <w:lang w:val="en-US"/>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本合同一式</w:t>
      </w:r>
      <w:r>
        <w:rPr>
          <w:rFonts w:hint="eastAsia" w:ascii="仿宋" w:hAnsi="仿宋" w:eastAsia="仿宋" w:cs="仿宋"/>
          <w:b w:val="0"/>
          <w:bCs/>
          <w:sz w:val="28"/>
          <w:szCs w:val="28"/>
          <w:highlight w:val="none"/>
          <w:lang w:val="en-US" w:eastAsia="zh-CN"/>
        </w:rPr>
        <w:t>肆</w:t>
      </w:r>
      <w:r>
        <w:rPr>
          <w:rFonts w:hint="eastAsia" w:ascii="仿宋" w:hAnsi="仿宋" w:eastAsia="仿宋" w:cs="仿宋"/>
          <w:b w:val="0"/>
          <w:bCs/>
          <w:sz w:val="28"/>
          <w:szCs w:val="28"/>
          <w:highlight w:val="none"/>
        </w:rPr>
        <w:t>份，双方各持</w:t>
      </w:r>
      <w:r>
        <w:rPr>
          <w:rFonts w:hint="eastAsia" w:ascii="仿宋" w:hAnsi="仿宋" w:eastAsia="仿宋" w:cs="仿宋"/>
          <w:b w:val="0"/>
          <w:bCs/>
          <w:sz w:val="28"/>
          <w:szCs w:val="28"/>
          <w:highlight w:val="none"/>
          <w:lang w:val="en-US" w:eastAsia="zh-CN"/>
        </w:rPr>
        <w:t>贰</w:t>
      </w:r>
      <w:r>
        <w:rPr>
          <w:rFonts w:hint="eastAsia" w:ascii="仿宋" w:hAnsi="仿宋" w:eastAsia="仿宋" w:cs="仿宋"/>
          <w:b w:val="0"/>
          <w:bCs/>
          <w:sz w:val="28"/>
          <w:szCs w:val="28"/>
          <w:highlight w:val="none"/>
        </w:rPr>
        <w:t>份，经</w:t>
      </w:r>
      <w:r>
        <w:rPr>
          <w:rFonts w:hint="eastAsia" w:ascii="仿宋" w:hAnsi="仿宋" w:eastAsia="仿宋" w:cs="仿宋"/>
          <w:b w:val="0"/>
          <w:bCs w:val="0"/>
          <w:sz w:val="28"/>
          <w:szCs w:val="28"/>
          <w:highlight w:val="none"/>
        </w:rPr>
        <w:t>双方签字盖章后生效，具</w:t>
      </w:r>
      <w:r>
        <w:rPr>
          <w:rFonts w:hint="eastAsia" w:ascii="仿宋" w:hAnsi="仿宋" w:eastAsia="仿宋" w:cs="仿宋"/>
          <w:b w:val="0"/>
          <w:bCs w:val="0"/>
          <w:sz w:val="28"/>
          <w:szCs w:val="28"/>
          <w:highlight w:val="none"/>
          <w:lang w:val="en-US" w:eastAsia="zh-CN"/>
        </w:rPr>
        <w:t>有</w:t>
      </w:r>
      <w:r>
        <w:rPr>
          <w:rFonts w:hint="eastAsia" w:ascii="仿宋" w:hAnsi="仿宋" w:eastAsia="仿宋" w:cs="仿宋"/>
          <w:b w:val="0"/>
          <w:bCs w:val="0"/>
          <w:sz w:val="28"/>
          <w:szCs w:val="28"/>
          <w:highlight w:val="none"/>
        </w:rPr>
        <w:t>同等法律效力。</w:t>
      </w:r>
    </w:p>
    <w:p w14:paraId="4C1EFA08">
      <w:pPr>
        <w:autoSpaceDE/>
        <w:autoSpaceDN/>
        <w:adjustRightInd w:val="0"/>
        <w:snapToGrid w:val="0"/>
        <w:spacing w:line="300" w:lineRule="auto"/>
        <w:jc w:val="both"/>
        <w:rPr>
          <w:rFonts w:hint="default"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附件：    1.报价函</w:t>
      </w:r>
    </w:p>
    <w:p w14:paraId="1247AD68">
      <w:pPr>
        <w:topLinePunct/>
        <w:autoSpaceDE/>
        <w:autoSpaceDN/>
        <w:spacing w:line="360" w:lineRule="auto"/>
        <w:ind w:firstLine="1400" w:firstLineChars="500"/>
        <w:rPr>
          <w:rFonts w:hint="default"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2.售后服务承诺函</w:t>
      </w:r>
    </w:p>
    <w:p w14:paraId="7DA0A1C0">
      <w:pPr>
        <w:topLinePunct/>
        <w:spacing w:line="360" w:lineRule="auto"/>
        <w:ind w:firstLine="560" w:firstLineChars="200"/>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（以下无正文）</w:t>
      </w:r>
    </w:p>
    <w:p w14:paraId="1594ED64">
      <w:pPr>
        <w:topLinePunct/>
        <w:spacing w:line="360" w:lineRule="auto"/>
        <w:ind w:firstLine="560" w:firstLineChars="200"/>
        <w:rPr>
          <w:rFonts w:hint="eastAsia" w:ascii="仿宋" w:hAnsi="仿宋" w:eastAsia="仿宋" w:cs="仿宋"/>
          <w:b w:val="0"/>
          <w:bCs w:val="0"/>
          <w:sz w:val="28"/>
          <w:szCs w:val="28"/>
          <w:highlight w:val="none"/>
          <w:lang w:val="en-US" w:eastAsia="zh-CN" w:bidi="zh-CN"/>
        </w:rPr>
      </w:pPr>
    </w:p>
    <w:p w14:paraId="5BC6F458">
      <w:pPr>
        <w:topLinePunct/>
        <w:spacing w:line="360" w:lineRule="auto"/>
        <w:ind w:firstLine="560" w:firstLineChars="200"/>
        <w:rPr>
          <w:rFonts w:hint="eastAsia" w:ascii="仿宋" w:hAnsi="仿宋" w:eastAsia="仿宋" w:cs="仿宋"/>
          <w:b w:val="0"/>
          <w:bCs w:val="0"/>
          <w:sz w:val="28"/>
          <w:szCs w:val="28"/>
          <w:highlight w:val="none"/>
          <w:lang w:val="en-US" w:eastAsia="zh-CN" w:bidi="zh-CN"/>
        </w:rPr>
      </w:pPr>
    </w:p>
    <w:tbl>
      <w:tblPr>
        <w:tblStyle w:val="5"/>
        <w:tblW w:w="8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5"/>
        <w:gridCol w:w="4268"/>
      </w:tblGrid>
      <w:tr w14:paraId="469D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tcPr>
          <w:p w14:paraId="166A4401">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br w:type="page"/>
            </w:r>
            <w:r>
              <w:rPr>
                <w:rFonts w:hint="eastAsia" w:ascii="仿宋" w:hAnsi="仿宋" w:eastAsia="仿宋" w:cs="仿宋"/>
                <w:b w:val="0"/>
                <w:bCs w:val="0"/>
                <w:sz w:val="28"/>
                <w:szCs w:val="28"/>
                <w:highlight w:val="none"/>
                <w:lang w:val="zh-CN" w:eastAsia="zh-CN" w:bidi="zh-CN"/>
              </w:rPr>
              <w:t>甲方：</w:t>
            </w:r>
            <w:r>
              <w:rPr>
                <w:rFonts w:hint="eastAsia" w:ascii="仿宋" w:hAnsi="仿宋" w:eastAsia="仿宋" w:cs="仿宋"/>
                <w:b w:val="0"/>
                <w:bCs w:val="0"/>
                <w:sz w:val="28"/>
                <w:szCs w:val="28"/>
                <w:highlight w:val="none"/>
                <w:lang w:val="en-US" w:eastAsia="zh-CN" w:bidi="zh-CN"/>
              </w:rPr>
              <w:t xml:space="preserve">                  </w:t>
            </w:r>
            <w:r>
              <w:rPr>
                <w:rFonts w:hint="eastAsia" w:ascii="仿宋" w:hAnsi="仿宋" w:eastAsia="仿宋" w:cs="仿宋"/>
                <w:b w:val="0"/>
                <w:bCs w:val="0"/>
                <w:sz w:val="28"/>
                <w:szCs w:val="28"/>
                <w:highlight w:val="none"/>
                <w:lang w:val="zh-CN" w:eastAsia="zh-CN" w:bidi="zh-CN"/>
              </w:rPr>
              <w:t>（盖章）</w:t>
            </w:r>
          </w:p>
          <w:p w14:paraId="05BF9A95">
            <w:pPr>
              <w:snapToGrid w:val="0"/>
              <w:jc w:val="right"/>
              <w:rPr>
                <w:rFonts w:hint="eastAsia" w:ascii="仿宋" w:hAnsi="仿宋" w:eastAsia="仿宋" w:cs="仿宋"/>
                <w:b w:val="0"/>
                <w:bCs w:val="0"/>
                <w:sz w:val="28"/>
                <w:szCs w:val="28"/>
                <w:highlight w:val="none"/>
                <w:lang w:val="zh-CN" w:eastAsia="zh-CN" w:bidi="zh-CN"/>
              </w:rPr>
            </w:pPr>
          </w:p>
        </w:tc>
        <w:tc>
          <w:tcPr>
            <w:tcW w:w="4268" w:type="dxa"/>
            <w:tcBorders>
              <w:tl2br w:val="nil"/>
              <w:tr2bl w:val="nil"/>
            </w:tcBorders>
          </w:tcPr>
          <w:p w14:paraId="2299ECCB">
            <w:pPr>
              <w:snapToGrid w:val="0"/>
              <w:ind w:left="840" w:hanging="840" w:hangingChars="300"/>
              <w:jc w:val="left"/>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zh-CN" w:eastAsia="zh-CN" w:bidi="zh-CN"/>
              </w:rPr>
              <w:t>乙方：</w:t>
            </w:r>
            <w:r>
              <w:rPr>
                <w:rFonts w:hint="eastAsia" w:ascii="仿宋" w:hAnsi="仿宋" w:eastAsia="仿宋" w:cs="仿宋"/>
                <w:b w:val="0"/>
                <w:bCs w:val="0"/>
                <w:sz w:val="28"/>
                <w:szCs w:val="28"/>
                <w:highlight w:val="none"/>
                <w:lang w:val="en-US" w:eastAsia="zh-CN" w:bidi="zh-CN"/>
              </w:rPr>
              <w:t xml:space="preserve">             </w:t>
            </w:r>
            <w:r>
              <w:rPr>
                <w:rFonts w:hint="eastAsia" w:ascii="仿宋" w:hAnsi="仿宋" w:eastAsia="仿宋" w:cs="仿宋"/>
                <w:b w:val="0"/>
                <w:bCs w:val="0"/>
                <w:sz w:val="28"/>
                <w:szCs w:val="28"/>
                <w:highlight w:val="none"/>
                <w:lang w:val="zh-CN" w:eastAsia="zh-CN" w:bidi="zh-CN"/>
              </w:rPr>
              <w:t>（盖章）</w:t>
            </w:r>
          </w:p>
          <w:p w14:paraId="061DF719">
            <w:pPr>
              <w:snapToGrid w:val="0"/>
              <w:ind w:left="840" w:hanging="840" w:hangingChars="300"/>
              <w:jc w:val="right"/>
              <w:rPr>
                <w:rFonts w:hint="eastAsia" w:ascii="仿宋" w:hAnsi="仿宋" w:eastAsia="仿宋" w:cs="仿宋"/>
                <w:b w:val="0"/>
                <w:bCs w:val="0"/>
                <w:sz w:val="28"/>
                <w:szCs w:val="28"/>
                <w:highlight w:val="none"/>
                <w:lang w:val="zh-CN" w:eastAsia="zh-CN" w:bidi="zh-CN"/>
              </w:rPr>
            </w:pPr>
          </w:p>
        </w:tc>
      </w:tr>
      <w:tr w14:paraId="31A2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18F7A0F5">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法定代表人</w:t>
            </w:r>
          </w:p>
          <w:p w14:paraId="6EE69724">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或委托代理人：          （签字）</w:t>
            </w:r>
          </w:p>
        </w:tc>
        <w:tc>
          <w:tcPr>
            <w:tcW w:w="4268" w:type="dxa"/>
            <w:tcBorders>
              <w:tl2br w:val="nil"/>
              <w:tr2bl w:val="nil"/>
            </w:tcBorders>
            <w:vAlign w:val="center"/>
          </w:tcPr>
          <w:p w14:paraId="1F412C80">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法定代表人</w:t>
            </w:r>
          </w:p>
          <w:p w14:paraId="2254FE0C">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或委托代理人：       （签字）</w:t>
            </w:r>
          </w:p>
        </w:tc>
      </w:tr>
      <w:tr w14:paraId="0E15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4F97715E">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en-US" w:eastAsia="zh-CN" w:bidi="zh-CN"/>
              </w:rPr>
              <w:t>经办人：</w:t>
            </w:r>
          </w:p>
        </w:tc>
        <w:tc>
          <w:tcPr>
            <w:tcW w:w="4268" w:type="dxa"/>
            <w:tcBorders>
              <w:tl2br w:val="nil"/>
              <w:tr2bl w:val="nil"/>
            </w:tcBorders>
            <w:vAlign w:val="center"/>
          </w:tcPr>
          <w:p w14:paraId="7FE4F843">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en-US" w:eastAsia="zh-CN" w:bidi="zh-CN"/>
              </w:rPr>
              <w:t>经办人：</w:t>
            </w:r>
          </w:p>
        </w:tc>
      </w:tr>
      <w:tr w14:paraId="4EE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5DD4E97B">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开户银行：</w:t>
            </w:r>
          </w:p>
        </w:tc>
        <w:tc>
          <w:tcPr>
            <w:tcW w:w="4268" w:type="dxa"/>
            <w:tcBorders>
              <w:tl2br w:val="nil"/>
              <w:tr2bl w:val="nil"/>
            </w:tcBorders>
            <w:vAlign w:val="center"/>
          </w:tcPr>
          <w:p w14:paraId="4C0DF7A3">
            <w:pPr>
              <w:snapToGrid w:val="0"/>
              <w:jc w:val="both"/>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zh-CN" w:eastAsia="zh-CN" w:bidi="zh-CN"/>
              </w:rPr>
              <w:t>开户银行：</w:t>
            </w:r>
          </w:p>
        </w:tc>
      </w:tr>
      <w:tr w14:paraId="54D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513BD053">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开户账号：</w:t>
            </w:r>
          </w:p>
        </w:tc>
        <w:tc>
          <w:tcPr>
            <w:tcW w:w="4268" w:type="dxa"/>
            <w:tcBorders>
              <w:tl2br w:val="nil"/>
              <w:tr2bl w:val="nil"/>
            </w:tcBorders>
            <w:vAlign w:val="center"/>
          </w:tcPr>
          <w:p w14:paraId="7EB3DA96">
            <w:pPr>
              <w:snapToGrid w:val="0"/>
              <w:jc w:val="both"/>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zh-CN" w:eastAsia="zh-CN" w:bidi="zh-CN"/>
              </w:rPr>
              <w:t>开户账号：</w:t>
            </w:r>
          </w:p>
        </w:tc>
      </w:tr>
      <w:tr w14:paraId="0E32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25B08A95">
            <w:pPr>
              <w:snapToGrid w:val="0"/>
              <w:jc w:val="both"/>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地址：</w:t>
            </w:r>
          </w:p>
        </w:tc>
        <w:tc>
          <w:tcPr>
            <w:tcW w:w="4268" w:type="dxa"/>
            <w:tcBorders>
              <w:tl2br w:val="nil"/>
              <w:tr2bl w:val="nil"/>
            </w:tcBorders>
            <w:vAlign w:val="center"/>
          </w:tcPr>
          <w:p w14:paraId="00C12EEE">
            <w:pPr>
              <w:snapToGrid w:val="0"/>
              <w:jc w:val="both"/>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地址：</w:t>
            </w:r>
          </w:p>
        </w:tc>
      </w:tr>
      <w:tr w14:paraId="56F9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306204D0">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时间：    年  月  日</w:t>
            </w:r>
          </w:p>
        </w:tc>
        <w:tc>
          <w:tcPr>
            <w:tcW w:w="4268" w:type="dxa"/>
            <w:tcBorders>
              <w:tl2br w:val="nil"/>
              <w:tr2bl w:val="nil"/>
            </w:tcBorders>
            <w:vAlign w:val="center"/>
          </w:tcPr>
          <w:p w14:paraId="3B5F6D87">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 xml:space="preserve">时间： </w:t>
            </w:r>
            <w:r>
              <w:rPr>
                <w:rFonts w:hint="eastAsia" w:ascii="仿宋" w:hAnsi="仿宋" w:eastAsia="仿宋" w:cs="仿宋"/>
                <w:b w:val="0"/>
                <w:bCs w:val="0"/>
                <w:sz w:val="28"/>
                <w:szCs w:val="28"/>
                <w:highlight w:val="none"/>
                <w:lang w:val="en-US" w:eastAsia="zh-CN" w:bidi="zh-CN"/>
              </w:rPr>
              <w:t xml:space="preserve"> </w:t>
            </w:r>
            <w:r>
              <w:rPr>
                <w:rFonts w:hint="eastAsia" w:ascii="仿宋" w:hAnsi="仿宋" w:eastAsia="仿宋" w:cs="仿宋"/>
                <w:b w:val="0"/>
                <w:bCs w:val="0"/>
                <w:sz w:val="28"/>
                <w:szCs w:val="28"/>
                <w:highlight w:val="none"/>
                <w:lang w:val="zh-CN" w:eastAsia="zh-CN" w:bidi="zh-CN"/>
              </w:rPr>
              <w:t xml:space="preserve">  年  月  日</w:t>
            </w:r>
          </w:p>
        </w:tc>
      </w:tr>
      <w:bookmarkEnd w:id="0"/>
      <w:bookmarkEnd w:id="1"/>
      <w:bookmarkEnd w:id="2"/>
      <w:bookmarkEnd w:id="3"/>
      <w:bookmarkEnd w:id="4"/>
      <w:bookmarkEnd w:id="5"/>
    </w:tbl>
    <w:p w14:paraId="440E698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4F57">
    <w:pPr>
      <w:pStyle w:val="2"/>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61008">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B61008">
                    <w:pPr>
                      <w:pStyle w:val="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E422">
    <w:pPr>
      <w:pStyle w:val="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D8C05"/>
    <w:multiLevelType w:val="singleLevel"/>
    <w:tmpl w:val="E15D8C05"/>
    <w:lvl w:ilvl="0" w:tentative="0">
      <w:start w:val="1"/>
      <w:numFmt w:val="chineseCountingThousand"/>
      <w:suff w:val="space"/>
      <w:lvlText w:val="%1、"/>
      <w:lvlJc w:val="left"/>
      <w:pPr>
        <w:ind w:left="505" w:leftChars="0" w:hanging="85" w:firstLineChars="0"/>
      </w:pPr>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A707A"/>
    <w:rsid w:val="6D2C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稻壳合同样式 1级"/>
    <w:basedOn w:val="1"/>
    <w:qFormat/>
    <w:uiPriority w:val="0"/>
    <w:pPr>
      <w:spacing w:line="400" w:lineRule="exact"/>
      <w:ind w:left="505" w:hanging="85"/>
      <w:jc w:val="left"/>
      <w:outlineLvl w:val="0"/>
    </w:pPr>
    <w:rPr>
      <w:rFonts w:hint="eastAsia" w:ascii="宋体" w:hAnsi="宋体" w:eastAsia="宋体" w:cs="宋体"/>
      <w:color w:val="000000"/>
      <w:sz w:val="28"/>
    </w:rPr>
  </w:style>
  <w:style w:type="paragraph" w:customStyle="1" w:styleId="8">
    <w:name w:val="稻壳合同样式 2级"/>
    <w:basedOn w:val="1"/>
    <w:qFormat/>
    <w:uiPriority w:val="0"/>
    <w:pPr>
      <w:spacing w:line="400" w:lineRule="exact"/>
      <w:ind w:left="255" w:hanging="28"/>
      <w:jc w:val="left"/>
      <w:outlineLvl w:val="1"/>
    </w:pPr>
    <w:rPr>
      <w:rFonts w:hint="eastAsia" w:ascii="仿宋_GB2312" w:hAnsi="宋体" w:eastAsia="仿宋_GB2312" w:cs="仿宋_GB2312"/>
      <w:sz w:val="28"/>
    </w:rPr>
  </w:style>
  <w:style w:type="paragraph" w:customStyle="1" w:styleId="9">
    <w:name w:val="稻壳合同样式 3级"/>
    <w:basedOn w:val="1"/>
    <w:qFormat/>
    <w:uiPriority w:val="0"/>
    <w:pPr>
      <w:spacing w:line="400" w:lineRule="exact"/>
      <w:ind w:left="227"/>
      <w:jc w:val="left"/>
      <w:outlineLvl w:val="2"/>
    </w:pPr>
    <w:rPr>
      <w:rFonts w:hint="eastAsia" w:ascii="仿宋_GB2312" w:hAnsi="宋体" w:eastAsia="仿宋_GB2312" w:cs="仿宋_GB2312"/>
      <w:b/>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3123</Words>
  <Characters>3129</Characters>
  <Lines>0</Lines>
  <Paragraphs>0</Paragraphs>
  <TotalTime>0</TotalTime>
  <ScaleCrop>false</ScaleCrop>
  <LinksUpToDate>false</LinksUpToDate>
  <CharactersWithSpaces>3214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2026-03-19T06:44:00Z</dcterms:created>
  <dc:creator>qifei</dc:creator>
  <cp:lastModifiedBy>晴朵</cp:lastModifiedBy>
  <dcterms:modified xsi:type="dcterms:W3CDTF">2026-04-15T02:03:20Z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eyJoZGlkIjoiYzAwODZhZjZjY2Y2OTdhNGFlMjg1YTg0NjA1ZjE2Y2MiLCJ1c2VySWQiOiIzNTU3MTU2NzkifQ==</vt:lpwstr>
  </property>
  <property fmtid="{D5CDD505-2E9C-101B-9397-08002B2CF9AE}" pid="4" name="ICV">
    <vt:lpwstr>ECE1E66E2AA0484C83457DD17BC65521_12</vt:lpwstr>
  </property>
</Properties>
</file>