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B476">
      <w:pPr>
        <w:widowControl/>
        <w:shd w:val="clear" w:color="auto" w:fill="FFFFFF"/>
        <w:spacing w:line="560" w:lineRule="exact"/>
        <w:jc w:val="center"/>
        <w:rPr>
          <w:rFonts w:hint="eastAsia" w:ascii="黑体" w:hAnsi="黑体" w:eastAsia="黑体" w:cs="黑体"/>
          <w:b w:val="0"/>
          <w:bCs w:val="0"/>
          <w:color w:val="000000"/>
          <w:kern w:val="0"/>
          <w:sz w:val="40"/>
          <w:szCs w:val="40"/>
          <w:highlight w:val="none"/>
          <w:shd w:val="clear" w:color="auto" w:fill="FFFFFF"/>
          <w:lang w:val="en-US" w:eastAsia="zh-CN"/>
        </w:rPr>
      </w:pPr>
      <w:bookmarkStart w:id="8" w:name="_GoBack"/>
      <w:bookmarkEnd w:id="8"/>
      <w:bookmarkStart w:id="0" w:name="_Toc12816"/>
      <w:bookmarkStart w:id="1" w:name="_Toc3849"/>
      <w:bookmarkStart w:id="2" w:name="_Toc24173"/>
      <w:bookmarkStart w:id="3" w:name="_Toc8984"/>
      <w:bookmarkStart w:id="4" w:name="_Toc19945"/>
      <w:bookmarkStart w:id="5" w:name="_Toc19745"/>
      <w:r>
        <w:rPr>
          <w:rFonts w:hint="eastAsia" w:ascii="黑体" w:hAnsi="黑体" w:eastAsia="黑体" w:cs="黑体"/>
          <w:b w:val="0"/>
          <w:bCs w:val="0"/>
          <w:color w:val="000000"/>
          <w:kern w:val="0"/>
          <w:sz w:val="40"/>
          <w:szCs w:val="40"/>
          <w:highlight w:val="none"/>
          <w:shd w:val="clear" w:color="auto" w:fill="FFFFFF"/>
          <w:lang w:eastAsia="zh-CN"/>
        </w:rPr>
        <w:t>快递</w:t>
      </w:r>
      <w:r>
        <w:rPr>
          <w:rFonts w:hint="eastAsia" w:ascii="黑体" w:hAnsi="黑体" w:eastAsia="黑体" w:cs="黑体"/>
          <w:b w:val="0"/>
          <w:bCs w:val="0"/>
          <w:color w:val="000000"/>
          <w:kern w:val="0"/>
          <w:sz w:val="40"/>
          <w:szCs w:val="40"/>
          <w:highlight w:val="none"/>
          <w:shd w:val="clear" w:color="auto" w:fill="FFFFFF"/>
        </w:rPr>
        <w:t>服务合同</w:t>
      </w:r>
      <w:r>
        <w:rPr>
          <w:rFonts w:hint="eastAsia" w:ascii="黑体" w:hAnsi="黑体" w:eastAsia="黑体" w:cs="黑体"/>
          <w:b w:val="0"/>
          <w:bCs w:val="0"/>
          <w:color w:val="000000"/>
          <w:kern w:val="0"/>
          <w:sz w:val="40"/>
          <w:szCs w:val="40"/>
          <w:highlight w:val="none"/>
          <w:shd w:val="clear" w:color="auto" w:fill="FFFFFF"/>
          <w:lang w:val="en-US" w:eastAsia="zh-CN"/>
        </w:rPr>
        <w:t>主要条款模板</w:t>
      </w:r>
    </w:p>
    <w:p w14:paraId="39EFF13D">
      <w:pPr>
        <w:widowControl/>
        <w:shd w:val="clear" w:color="auto" w:fill="FFFFFF"/>
        <w:spacing w:line="560" w:lineRule="exact"/>
        <w:jc w:val="center"/>
        <w:rPr>
          <w:rFonts w:hint="eastAsia" w:ascii="宋体" w:hAnsi="宋体" w:eastAsia="黑体" w:cs="宋体"/>
          <w:b/>
          <w:bCs/>
          <w:color w:val="000000"/>
          <w:kern w:val="0"/>
          <w:sz w:val="52"/>
          <w:szCs w:val="52"/>
          <w:highlight w:val="none"/>
          <w:shd w:val="clear" w:color="auto" w:fill="FFFFFF"/>
          <w:lang w:eastAsia="zh-CN"/>
        </w:rPr>
      </w:pPr>
      <w:r>
        <w:rPr>
          <w:rFonts w:hint="eastAsia" w:ascii="黑体" w:hAnsi="黑体" w:eastAsia="黑体" w:cs="黑体"/>
          <w:b w:val="0"/>
          <w:bCs w:val="0"/>
          <w:color w:val="000000"/>
          <w:kern w:val="0"/>
          <w:sz w:val="40"/>
          <w:szCs w:val="40"/>
          <w:highlight w:val="none"/>
          <w:shd w:val="clear" w:color="auto" w:fill="FFFFFF"/>
          <w:lang w:eastAsia="zh-CN"/>
        </w:rPr>
        <w:t>（</w:t>
      </w:r>
      <w:r>
        <w:rPr>
          <w:rFonts w:hint="eastAsia" w:ascii="黑体" w:hAnsi="黑体" w:eastAsia="黑体" w:cs="黑体"/>
          <w:b w:val="0"/>
          <w:bCs w:val="0"/>
          <w:color w:val="000000"/>
          <w:kern w:val="0"/>
          <w:sz w:val="40"/>
          <w:szCs w:val="40"/>
          <w:highlight w:val="none"/>
          <w:shd w:val="clear" w:color="auto" w:fill="FFFFFF"/>
          <w:lang w:val="en-US" w:eastAsia="zh-CN"/>
        </w:rPr>
        <w:t>以实际签订合同内容为准</w:t>
      </w:r>
      <w:r>
        <w:rPr>
          <w:rFonts w:hint="eastAsia" w:ascii="黑体" w:hAnsi="黑体" w:eastAsia="黑体" w:cs="黑体"/>
          <w:b w:val="0"/>
          <w:bCs w:val="0"/>
          <w:color w:val="000000"/>
          <w:kern w:val="0"/>
          <w:sz w:val="40"/>
          <w:szCs w:val="40"/>
          <w:highlight w:val="none"/>
          <w:shd w:val="clear" w:color="auto" w:fill="FFFFFF"/>
          <w:lang w:eastAsia="zh-CN"/>
        </w:rPr>
        <w:t>）</w:t>
      </w:r>
    </w:p>
    <w:p w14:paraId="714BB861">
      <w:pPr>
        <w:autoSpaceDE/>
        <w:autoSpaceDN/>
        <w:adjustRightInd w:val="0"/>
        <w:snapToGrid w:val="0"/>
        <w:spacing w:line="300" w:lineRule="auto"/>
        <w:jc w:val="both"/>
        <w:rPr>
          <w:rFonts w:ascii="黑体" w:hAnsi="黑体" w:eastAsia="黑体" w:cs="黑体"/>
          <w:sz w:val="28"/>
          <w:szCs w:val="36"/>
          <w:highlight w:val="none"/>
          <w:lang w:val="en-US"/>
        </w:rPr>
      </w:pPr>
    </w:p>
    <w:p w14:paraId="082D428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lang w:val="en-US"/>
        </w:rPr>
        <w:t>合同编号：</w:t>
      </w:r>
    </w:p>
    <w:p w14:paraId="77B8A86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甲方（</w:t>
      </w:r>
      <w:r>
        <w:rPr>
          <w:rFonts w:hint="eastAsia" w:ascii="仿宋" w:hAnsi="仿宋" w:eastAsia="仿宋" w:cs="仿宋"/>
          <w:b w:val="0"/>
          <w:bCs w:val="0"/>
          <w:color w:val="000000"/>
          <w:kern w:val="0"/>
          <w:sz w:val="28"/>
          <w:szCs w:val="28"/>
          <w:highlight w:val="none"/>
          <w:shd w:val="clear" w:color="auto" w:fill="FFFFFF"/>
          <w:lang w:val="en-US" w:eastAsia="zh-CN"/>
        </w:rPr>
        <w:t>寄件人</w:t>
      </w:r>
      <w:r>
        <w:rPr>
          <w:rFonts w:hint="eastAsia" w:ascii="仿宋" w:hAnsi="仿宋" w:eastAsia="仿宋" w:cs="仿宋"/>
          <w:b w:val="0"/>
          <w:bCs w:val="0"/>
          <w:color w:val="000000"/>
          <w:kern w:val="0"/>
          <w:sz w:val="28"/>
          <w:szCs w:val="28"/>
          <w:highlight w:val="none"/>
          <w:shd w:val="clear" w:color="auto" w:fill="FFFFFF"/>
        </w:rPr>
        <w:t>）：</w:t>
      </w:r>
      <w:bookmarkStart w:id="6" w:name="OLE_LINK1"/>
    </w:p>
    <w:p w14:paraId="56938386">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注册地址：</w:t>
      </w:r>
      <w:bookmarkEnd w:id="6"/>
    </w:p>
    <w:p w14:paraId="7F74FBBE">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shd w:val="clear" w:color="auto" w:fill="FFFFFF"/>
        </w:rPr>
      </w:pPr>
      <w:r>
        <w:rPr>
          <w:rFonts w:hint="eastAsia" w:ascii="仿宋" w:hAnsi="仿宋" w:eastAsia="仿宋" w:cs="仿宋"/>
          <w:b w:val="0"/>
          <w:bCs w:val="0"/>
          <w:color w:val="000000"/>
          <w:kern w:val="0"/>
          <w:sz w:val="28"/>
          <w:szCs w:val="28"/>
          <w:highlight w:val="none"/>
          <w:shd w:val="clear" w:color="auto" w:fill="FFFFFF"/>
        </w:rPr>
        <w:t>乙方（</w:t>
      </w:r>
      <w:r>
        <w:rPr>
          <w:rFonts w:hint="eastAsia" w:ascii="仿宋" w:hAnsi="仿宋" w:eastAsia="仿宋" w:cs="仿宋"/>
          <w:b w:val="0"/>
          <w:bCs w:val="0"/>
          <w:color w:val="000000"/>
          <w:kern w:val="0"/>
          <w:sz w:val="28"/>
          <w:szCs w:val="28"/>
          <w:highlight w:val="none"/>
          <w:shd w:val="clear" w:color="auto" w:fill="FFFFFF"/>
          <w:lang w:val="en-US" w:eastAsia="zh-CN"/>
        </w:rPr>
        <w:t>承运人</w:t>
      </w:r>
      <w:r>
        <w:rPr>
          <w:rFonts w:hint="eastAsia" w:ascii="仿宋" w:hAnsi="仿宋" w:eastAsia="仿宋" w:cs="仿宋"/>
          <w:b w:val="0"/>
          <w:bCs w:val="0"/>
          <w:color w:val="000000"/>
          <w:kern w:val="0"/>
          <w:sz w:val="28"/>
          <w:szCs w:val="28"/>
          <w:highlight w:val="none"/>
          <w:shd w:val="clear" w:color="auto" w:fill="FFFFFF"/>
        </w:rPr>
        <w:t>）：</w:t>
      </w:r>
    </w:p>
    <w:p w14:paraId="38D0DE6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000000"/>
          <w:kern w:val="0"/>
          <w:sz w:val="28"/>
          <w:szCs w:val="28"/>
          <w:highlight w:val="none"/>
          <w:u w:val="single"/>
          <w:shd w:val="clear" w:color="auto" w:fill="FFFFFF"/>
        </w:rPr>
      </w:pPr>
      <w:r>
        <w:rPr>
          <w:rFonts w:hint="eastAsia" w:ascii="仿宋" w:hAnsi="仿宋" w:eastAsia="仿宋" w:cs="仿宋"/>
          <w:b w:val="0"/>
          <w:bCs w:val="0"/>
          <w:color w:val="000000"/>
          <w:kern w:val="0"/>
          <w:sz w:val="28"/>
          <w:szCs w:val="28"/>
          <w:highlight w:val="none"/>
          <w:shd w:val="clear" w:color="auto" w:fill="FFFFFF"/>
        </w:rPr>
        <w:t>注册地址：</w:t>
      </w:r>
    </w:p>
    <w:p w14:paraId="1B07294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根据《中华人民共和国</w:t>
      </w:r>
      <w:r>
        <w:rPr>
          <w:rFonts w:hint="eastAsia" w:ascii="仿宋" w:hAnsi="仿宋" w:eastAsia="仿宋" w:cs="仿宋"/>
          <w:b w:val="0"/>
          <w:bCs w:val="0"/>
          <w:sz w:val="28"/>
          <w:szCs w:val="28"/>
          <w:highlight w:val="none"/>
          <w:lang w:val="en-US" w:eastAsia="zh-CN"/>
        </w:rPr>
        <w:t>民法典</w:t>
      </w:r>
      <w:r>
        <w:rPr>
          <w:rFonts w:hint="eastAsia" w:ascii="仿宋" w:hAnsi="仿宋" w:eastAsia="仿宋" w:cs="仿宋"/>
          <w:b w:val="0"/>
          <w:bCs w:val="0"/>
          <w:sz w:val="28"/>
          <w:szCs w:val="28"/>
          <w:highlight w:val="none"/>
        </w:rPr>
        <w:t>》、《中华人民共和国邮政法》等相关法律、法规的规定，经甲乙双方友好协商，在平等、自愿、公平的基础上，现就乙方为甲方提供国内货物收派服务，双方签订本合同，供双方共同遵守。</w:t>
      </w:r>
    </w:p>
    <w:p w14:paraId="31516FE4">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合同主要构成</w:t>
      </w:r>
    </w:p>
    <w:p w14:paraId="7C88BD9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本合同正本；</w:t>
      </w:r>
    </w:p>
    <w:p w14:paraId="36F6CBE2">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甲方签署的运单</w:t>
      </w:r>
    </w:p>
    <w:p w14:paraId="4F1AD53A">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服务内容、区域及确认</w:t>
      </w:r>
    </w:p>
    <w:p w14:paraId="5D676B1C">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每单具体的服务方式以甲方签署的运单为准。</w:t>
      </w:r>
    </w:p>
    <w:p w14:paraId="4447AC1D">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服务区域：全国范围内（不含港澳台）</w:t>
      </w:r>
    </w:p>
    <w:p w14:paraId="13693B7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服务确认：甲方可通过全国服务热线、终端APP、官网等下达收派指令</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甲方应当如实填写运单信息。</w:t>
      </w:r>
    </w:p>
    <w:p w14:paraId="6D9A6636">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费用及结算方式</w:t>
      </w:r>
    </w:p>
    <w:p w14:paraId="550AE15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收派服务费（以下简称“服务费”）以运单上核定记载的金额为准。</w:t>
      </w:r>
    </w:p>
    <w:p w14:paraId="1587F3F8">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服务费计账周期：□本月首日至本月尾日；□本月</w:t>
      </w:r>
      <w:r>
        <w:rPr>
          <w:rFonts w:hint="eastAsia" w:ascii="仿宋" w:hAnsi="仿宋" w:eastAsia="仿宋" w:cs="仿宋"/>
          <w:b w:val="0"/>
          <w:bCs/>
          <w:color w:val="000000"/>
          <w:kern w:val="0"/>
          <w:sz w:val="28"/>
          <w:szCs w:val="28"/>
          <w:highlight w:val="none"/>
          <w:u w:val="single"/>
          <w:shd w:val="clear" w:color="auto" w:fill="FFFFFF"/>
          <w:lang w:val="en-US" w:eastAsia="zh-CN"/>
        </w:rPr>
        <w:t xml:space="preserve">  </w:t>
      </w:r>
      <w:r>
        <w:rPr>
          <w:rFonts w:hint="eastAsia" w:ascii="仿宋" w:hAnsi="仿宋" w:eastAsia="仿宋" w:cs="仿宋"/>
          <w:b w:val="0"/>
          <w:bCs/>
          <w:sz w:val="28"/>
          <w:szCs w:val="28"/>
          <w:highlight w:val="none"/>
        </w:rPr>
        <w:t>日至次月</w:t>
      </w:r>
      <w:r>
        <w:rPr>
          <w:rFonts w:hint="eastAsia" w:ascii="仿宋" w:hAnsi="仿宋" w:eastAsia="仿宋" w:cs="仿宋"/>
          <w:b w:val="0"/>
          <w:bCs/>
          <w:color w:val="000000"/>
          <w:kern w:val="0"/>
          <w:sz w:val="28"/>
          <w:szCs w:val="28"/>
          <w:highlight w:val="none"/>
          <w:u w:val="single"/>
          <w:shd w:val="clear" w:color="auto" w:fill="FFFFFF"/>
          <w:lang w:val="en-US" w:eastAsia="zh-CN"/>
        </w:rPr>
        <w:t xml:space="preserve"> </w:t>
      </w:r>
      <w:r>
        <w:rPr>
          <w:rFonts w:hint="eastAsia" w:ascii="仿宋" w:hAnsi="仿宋" w:eastAsia="仿宋" w:cs="仿宋"/>
          <w:b w:val="0"/>
          <w:bCs/>
          <w:sz w:val="28"/>
          <w:szCs w:val="28"/>
          <w:highlight w:val="none"/>
        </w:rPr>
        <w:t>日</w:t>
      </w:r>
    </w:p>
    <w:p w14:paraId="39E7561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服务费对账</w:t>
      </w:r>
      <w:r>
        <w:rPr>
          <w:rFonts w:hint="eastAsia" w:ascii="仿宋" w:hAnsi="仿宋" w:eastAsia="仿宋" w:cs="仿宋"/>
          <w:b w:val="0"/>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635" cy="0"/>
                <wp:effectExtent l="0" t="4445" r="0" b="5080"/>
                <wp:wrapNone/>
                <wp:docPr id="3"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35pt;margin-top:15.6pt;height:0pt;width:0.05pt;z-index:25165926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l76O1QAAAAkBAAAPAAAAAAAA&#10;AAEAIAAAACIAAABkcnMvZG93bnJldi54bWxQSwECFAAUAAAACACHTuJAnn/izNwBAADjAwAADgAA&#10;AAAAAAABACAAAAAk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乙方于服务费计账周期结束后5日内向甲方发收派服务费的月结账单。甲方如对该月结账单的内容持有异议，应在收到乙方月结账单之日起</w:t>
      </w: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个工作日内回复乙方，否则视为甲方认可该月结账单的内容准确、真实。甲乙双方应在甲方提出异议之日起</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个工作日内,共同完成有异议部分服务费的核对和确认手续。</w:t>
      </w:r>
    </w:p>
    <w:p w14:paraId="2075377D">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4、</w:t>
      </w:r>
      <w:r>
        <w:rPr>
          <w:rFonts w:hint="eastAsia" w:ascii="仿宋" w:hAnsi="仿宋" w:eastAsia="仿宋" w:cs="仿宋"/>
          <w:b w:val="0"/>
          <w:bCs/>
          <w:sz w:val="28"/>
          <w:szCs w:val="28"/>
          <w:highlight w:val="none"/>
        </w:rPr>
        <w:t>甲方</w:t>
      </w:r>
      <w:r>
        <w:rPr>
          <w:rFonts w:hint="eastAsia" w:ascii="仿宋" w:hAnsi="仿宋" w:eastAsia="仿宋" w:cs="仿宋"/>
          <w:b w:val="0"/>
          <w:bCs/>
          <w:sz w:val="28"/>
          <w:szCs w:val="28"/>
          <w:highlight w:val="none"/>
          <w:lang w:val="en-US" w:eastAsia="zh-CN"/>
        </w:rPr>
        <w:t>应</w:t>
      </w:r>
      <w:r>
        <w:rPr>
          <w:rFonts w:hint="eastAsia" w:ascii="仿宋" w:hAnsi="仿宋" w:eastAsia="仿宋" w:cs="仿宋"/>
          <w:b w:val="0"/>
          <w:bCs/>
          <w:sz w:val="28"/>
          <w:szCs w:val="28"/>
          <w:highlight w:val="none"/>
        </w:rPr>
        <w:t>于</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月</w:t>
      </w:r>
      <w:r>
        <w:rPr>
          <w:rFonts w:hint="eastAsia" w:ascii="仿宋" w:hAnsi="仿宋" w:eastAsia="仿宋" w:cs="仿宋"/>
          <w:b w:val="0"/>
          <w:bCs/>
          <w:sz w:val="28"/>
          <w:szCs w:val="28"/>
          <w:highlight w:val="none"/>
          <w:lang w:val="en-US" w:eastAsia="zh-CN"/>
        </w:rPr>
        <w:t>x</w:t>
      </w:r>
      <w:r>
        <w:rPr>
          <w:rFonts w:hint="eastAsia" w:ascii="仿宋" w:hAnsi="仿宋" w:eastAsia="仿宋" w:cs="仿宋"/>
          <w:b w:val="0"/>
          <w:bCs/>
          <w:sz w:val="28"/>
          <w:szCs w:val="28"/>
          <w:highlight w:val="none"/>
        </w:rPr>
        <w:t>日前付清上月应付服务费。甲方采取转账方式支付。</w:t>
      </w:r>
    </w:p>
    <w:p w14:paraId="1323A7B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5、甲方付款前，乙方应</w:t>
      </w:r>
      <w:r>
        <w:rPr>
          <w:rFonts w:hint="eastAsia" w:ascii="仿宋" w:hAnsi="仿宋" w:eastAsia="仿宋" w:cs="仿宋"/>
          <w:b w:val="0"/>
          <w:bCs/>
          <w:sz w:val="28"/>
          <w:szCs w:val="28"/>
          <w:highlight w:val="none"/>
        </w:rPr>
        <w:t>开具</w:t>
      </w:r>
      <w:r>
        <w:rPr>
          <w:rFonts w:hint="eastAsia" w:ascii="仿宋" w:hAnsi="仿宋" w:eastAsia="仿宋" w:cs="仿宋"/>
          <w:b w:val="0"/>
          <w:bCs/>
          <w:sz w:val="28"/>
          <w:szCs w:val="28"/>
          <w:highlight w:val="none"/>
          <w:lang w:val="en-US" w:eastAsia="zh-CN"/>
        </w:rPr>
        <w:t>符合甲方要求的</w:t>
      </w:r>
      <w:r>
        <w:rPr>
          <w:rFonts w:hint="eastAsia" w:ascii="仿宋" w:hAnsi="仿宋" w:eastAsia="仿宋" w:cs="仿宋"/>
          <w:b w:val="0"/>
          <w:bCs/>
          <w:sz w:val="28"/>
          <w:szCs w:val="28"/>
          <w:highlight w:val="none"/>
        </w:rPr>
        <w:t>月结收派服务费发票，</w:t>
      </w:r>
      <w:r>
        <w:rPr>
          <w:rFonts w:hint="eastAsia" w:ascii="仿宋" w:hAnsi="仿宋" w:eastAsia="仿宋" w:cs="仿宋"/>
          <w:b w:val="0"/>
          <w:bCs/>
          <w:sz w:val="28"/>
          <w:szCs w:val="28"/>
          <w:highlight w:val="none"/>
          <w:lang w:val="en-US" w:eastAsia="zh-CN"/>
        </w:rPr>
        <w:t>否则甲方有权迟延付款且并不承担任何违约责任</w:t>
      </w:r>
      <w:r>
        <w:rPr>
          <w:rFonts w:hint="eastAsia" w:ascii="仿宋" w:hAnsi="仿宋" w:eastAsia="仿宋" w:cs="仿宋"/>
          <w:b w:val="0"/>
          <w:bCs/>
          <w:sz w:val="28"/>
          <w:szCs w:val="28"/>
          <w:highlight w:val="none"/>
        </w:rPr>
        <w:t>。服务费的税率为</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w:t>
      </w:r>
    </w:p>
    <w:p w14:paraId="64B02828">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保价</w:t>
      </w:r>
    </w:p>
    <w:p w14:paraId="13259E2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08" w:firstLineChars="200"/>
        <w:jc w:val="left"/>
        <w:textAlignment w:val="auto"/>
        <w:rPr>
          <w:rFonts w:hint="eastAsia" w:ascii="仿宋" w:hAnsi="仿宋" w:eastAsia="仿宋" w:cs="仿宋"/>
          <w:b w:val="0"/>
          <w:bCs/>
          <w:color w:val="000000" w:themeColor="text1"/>
          <w:spacing w:val="12"/>
          <w:sz w:val="28"/>
          <w:szCs w:val="28"/>
          <w:highlight w:val="none"/>
          <w14:textFill>
            <w14:solidFill>
              <w14:schemeClr w14:val="tx1"/>
            </w14:solidFill>
          </w14:textFill>
        </w:rPr>
      </w:pPr>
      <w:r>
        <w:rPr>
          <w:rFonts w:hint="eastAsia" w:ascii="仿宋" w:hAnsi="仿宋" w:eastAsia="仿宋" w:cs="仿宋"/>
          <w:b w:val="0"/>
          <w:bCs/>
          <w:color w:val="000000" w:themeColor="text1"/>
          <w:spacing w:val="12"/>
          <w:sz w:val="28"/>
          <w:szCs w:val="28"/>
          <w:highlight w:val="none"/>
          <w:lang w:val="en-US" w:eastAsia="zh-CN"/>
          <w14:textFill>
            <w14:solidFill>
              <w14:schemeClr w14:val="tx1"/>
            </w14:solidFill>
          </w14:textFill>
        </w:rPr>
        <w:t>1、</w:t>
      </w:r>
      <w:r>
        <w:rPr>
          <w:rFonts w:hint="eastAsia" w:ascii="仿宋" w:hAnsi="仿宋" w:eastAsia="仿宋" w:cs="仿宋"/>
          <w:b w:val="0"/>
          <w:bCs/>
          <w:color w:val="000000" w:themeColor="text1"/>
          <w:spacing w:val="12"/>
          <w:sz w:val="28"/>
          <w:szCs w:val="28"/>
          <w:highlight w:val="none"/>
          <w14:textFill>
            <w14:solidFill>
              <w14:schemeClr w14:val="tx1"/>
            </w14:solidFill>
          </w14:textFill>
        </w:rPr>
        <w:t>甲方可以自愿对托寄物办理商业保险，对贵重物品和单票价值超过人民币</w:t>
      </w:r>
      <w:r>
        <w:rPr>
          <w:rFonts w:hint="eastAsia" w:ascii="仿宋" w:hAnsi="仿宋" w:eastAsia="仿宋" w:cs="仿宋"/>
          <w:b w:val="0"/>
          <w:bCs/>
          <w:color w:val="000000" w:themeColor="text1"/>
          <w:spacing w:val="12"/>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pacing w:val="12"/>
          <w:sz w:val="28"/>
          <w:szCs w:val="28"/>
          <w:highlight w:val="none"/>
          <w14:textFill>
            <w14:solidFill>
              <w14:schemeClr w14:val="tx1"/>
            </w14:solidFill>
          </w14:textFill>
        </w:rPr>
        <w:t>元的托寄物应尽量办理保价。</w:t>
      </w:r>
    </w:p>
    <w:p w14:paraId="0367482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保价费为声明托寄物价值的</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。保价费的支付独立于服务费之外。甲乙双方另行约定保价费率的，需在运单上注明。</w:t>
      </w:r>
    </w:p>
    <w:p w14:paraId="772346E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保价效力：寄件人需按实际情况填写托寄物的声明价值，并按运单约定缴纳保价费。未声明价值或未交保费的，视为未保价。</w:t>
      </w:r>
    </w:p>
    <w:p w14:paraId="5C1D4356">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货损赔偿</w:t>
      </w:r>
    </w:p>
    <w:p w14:paraId="194534D3">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如发生毁损、灭失的，甲方须于该票货物正常派送时间起三个日内以书面形式或通过乙方客户服务热线电话向乙方提出索赔要求，并附相关证明文件，乙方接纳相关证明文件后48小时内答复是否受理。</w:t>
      </w:r>
    </w:p>
    <w:p w14:paraId="302880E3">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未保价的，在托寄物派送过程中，如因乙方过错导致托寄物</w:t>
      </w:r>
      <w:bookmarkStart w:id="7" w:name="OLE_LINK5"/>
      <w:r>
        <w:rPr>
          <w:rFonts w:hint="eastAsia" w:ascii="仿宋" w:hAnsi="仿宋" w:eastAsia="仿宋" w:cs="仿宋"/>
          <w:b w:val="0"/>
          <w:bCs/>
          <w:sz w:val="28"/>
          <w:szCs w:val="28"/>
          <w:highlight w:val="none"/>
        </w:rPr>
        <w:t>毁损、灭失的</w:t>
      </w:r>
      <w:bookmarkEnd w:id="7"/>
      <w:r>
        <w:rPr>
          <w:rFonts w:hint="eastAsia" w:ascii="仿宋" w:hAnsi="仿宋" w:eastAsia="仿宋" w:cs="仿宋"/>
          <w:b w:val="0"/>
          <w:bCs/>
          <w:sz w:val="28"/>
          <w:szCs w:val="28"/>
          <w:highlight w:val="none"/>
        </w:rPr>
        <w:t>，按托寄物的实际损毁价值赔偿。</w:t>
      </w:r>
    </w:p>
    <w:p w14:paraId="2ECC595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已保价的，在保险金额限额内按托寄物的实际损毁价值赔偿。 货物全部灭失，按货物保价声明价值赔偿；货物部分毁损或灭失，按声明价值和损失比例赔偿。</w:t>
      </w:r>
    </w:p>
    <w:p w14:paraId="35B41CA9">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双方的权利义务</w:t>
      </w:r>
    </w:p>
    <w:p w14:paraId="042E49DB">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甲方的权利义务</w:t>
      </w:r>
    </w:p>
    <w:p w14:paraId="20A533BB">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color w:val="000000"/>
          <w:kern w:val="2"/>
          <w:sz w:val="28"/>
          <w:szCs w:val="28"/>
          <w:highlight w:val="none"/>
          <w:lang w:val="en-US" w:eastAsia="zh-CN" w:bidi="ar-SA"/>
        </w:rPr>
        <w:t>（1）</w:t>
      </w:r>
      <w:r>
        <w:rPr>
          <w:rFonts w:hint="eastAsia" w:ascii="仿宋" w:hAnsi="仿宋" w:eastAsia="仿宋" w:cs="仿宋"/>
          <w:b w:val="0"/>
          <w:bCs/>
          <w:sz w:val="28"/>
          <w:szCs w:val="28"/>
          <w:highlight w:val="none"/>
        </w:rPr>
        <w:t>甲方有权要求乙方按委托的时间、地点、方式将货物运送至目的地；有权了解货物的在途信息。在未办理提货、发货手续前，甲方有权变更或取消委托运单</w:t>
      </w:r>
      <w:r>
        <w:rPr>
          <w:rFonts w:hint="eastAsia" w:ascii="仿宋" w:hAnsi="仿宋" w:eastAsia="仿宋" w:cs="仿宋"/>
          <w:b w:val="0"/>
          <w:bCs/>
          <w:sz w:val="28"/>
          <w:szCs w:val="28"/>
          <w:highlight w:val="none"/>
          <w:lang w:eastAsia="zh-CN"/>
        </w:rPr>
        <w:t>。</w:t>
      </w:r>
    </w:p>
    <w:p w14:paraId="089D48DB">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（2）</w:t>
      </w:r>
      <w:r>
        <w:rPr>
          <w:rFonts w:hint="eastAsia" w:ascii="仿宋" w:hAnsi="仿宋" w:eastAsia="仿宋" w:cs="仿宋"/>
          <w:b w:val="0"/>
          <w:bCs/>
          <w:sz w:val="28"/>
          <w:szCs w:val="28"/>
          <w:highlight w:val="none"/>
        </w:rPr>
        <w:t>甲方有权要求乙方随时提供甲方所委托业务的进展情况、服务过程中的信息反馈（不可提供的快递行业机密或涉及乙方商业信息的除外）。</w:t>
      </w:r>
    </w:p>
    <w:p w14:paraId="39129B02">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甲方在托寄物品时，应如实申报托寄物内容、数量、声明价值、品名等资料，准确、真实地填写快递运单之各项内容。</w:t>
      </w:r>
    </w:p>
    <w:p w14:paraId="43EFD72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甲方有权对乙方及乙方代表和相关工作人员的工作提出意见、要求改进。</w:t>
      </w:r>
    </w:p>
    <w:p w14:paraId="69384CB6">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甲方托寄物品时应遵守国家相关规定，符合国家法律法规的要求，不属于禁止生产、销售、传播的物品，不属于禁止或限制寄递的违禁品、假冒伪劣产品。</w:t>
      </w:r>
    </w:p>
    <w:p w14:paraId="3D49424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（6）</w:t>
      </w:r>
      <w:r>
        <w:rPr>
          <w:rFonts w:hint="eastAsia" w:ascii="仿宋" w:hAnsi="仿宋" w:eastAsia="仿宋" w:cs="仿宋"/>
          <w:b w:val="0"/>
          <w:bCs/>
          <w:sz w:val="28"/>
          <w:szCs w:val="28"/>
          <w:highlight w:val="none"/>
        </w:rPr>
        <w:t>甲方在隐瞒或虚报货物情况或在普通货物中夹带、匿报危险品、违禁品或其他违反邮政规定的行为，甲方承担违约责任</w:t>
      </w:r>
      <w:r>
        <w:rPr>
          <w:rFonts w:hint="eastAsia" w:ascii="仿宋" w:hAnsi="仿宋" w:eastAsia="仿宋" w:cs="仿宋"/>
          <w:b w:val="0"/>
          <w:bCs/>
          <w:sz w:val="28"/>
          <w:szCs w:val="28"/>
          <w:highlight w:val="none"/>
          <w:lang w:eastAsia="zh-CN"/>
        </w:rPr>
        <w:t>。</w:t>
      </w:r>
    </w:p>
    <w:p w14:paraId="0EFC569D">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 w:hAnsi="仿宋" w:eastAsia="仿宋" w:cs="仿宋"/>
          <w:b w:val="0"/>
          <w:bCs/>
          <w:sz w:val="28"/>
          <w:szCs w:val="28"/>
          <w:highlight w:val="none"/>
          <w:lang w:val="en-US" w:eastAsia="zh-CN"/>
        </w:rPr>
      </w:pPr>
      <w:r>
        <w:rPr>
          <w:rFonts w:hint="eastAsia" w:ascii="仿宋" w:hAnsi="仿宋" w:eastAsia="仿宋" w:cs="仿宋"/>
          <w:b w:val="0"/>
          <w:bCs/>
          <w:color w:val="000000"/>
          <w:kern w:val="2"/>
          <w:sz w:val="28"/>
          <w:szCs w:val="28"/>
          <w:highlight w:val="none"/>
          <w:lang w:val="en-US" w:eastAsia="zh-CN" w:bidi="ar-SA"/>
        </w:rPr>
        <w:t>（7）</w:t>
      </w:r>
      <w:r>
        <w:rPr>
          <w:rFonts w:hint="eastAsia" w:ascii="仿宋" w:hAnsi="仿宋" w:eastAsia="仿宋" w:cs="仿宋"/>
          <w:b w:val="0"/>
          <w:bCs/>
          <w:sz w:val="28"/>
          <w:szCs w:val="28"/>
          <w:highlight w:val="none"/>
        </w:rPr>
        <w:t>甲方客户收到乙方派送的货物时有权要求先开箱验货再签收，乙方不得无故阻拦或拒绝配合。</w:t>
      </w:r>
    </w:p>
    <w:p w14:paraId="417A2BEF">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乙方的权利义务</w:t>
      </w:r>
    </w:p>
    <w:p w14:paraId="243D7B81">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color w:val="000000"/>
          <w:kern w:val="2"/>
          <w:sz w:val="28"/>
          <w:szCs w:val="28"/>
          <w:highlight w:val="none"/>
          <w:lang w:val="en-US" w:eastAsia="zh-CN" w:bidi="ar-SA"/>
        </w:rPr>
        <w:t>（1）</w:t>
      </w:r>
      <w:r>
        <w:rPr>
          <w:rFonts w:hint="eastAsia" w:ascii="仿宋" w:hAnsi="仿宋" w:eastAsia="仿宋" w:cs="仿宋"/>
          <w:b w:val="0"/>
          <w:bCs/>
          <w:sz w:val="28"/>
          <w:szCs w:val="28"/>
          <w:highlight w:val="none"/>
        </w:rPr>
        <w:t>乙方应在服务过程中就收派服务能力、时间及安全可靠性等方面满足甲方的需求，确保服务质量</w:t>
      </w:r>
      <w:r>
        <w:rPr>
          <w:rFonts w:hint="eastAsia" w:ascii="仿宋" w:hAnsi="仿宋" w:eastAsia="仿宋" w:cs="仿宋"/>
          <w:b w:val="0"/>
          <w:bCs/>
          <w:sz w:val="28"/>
          <w:szCs w:val="28"/>
          <w:highlight w:val="none"/>
          <w:lang w:eastAsia="zh-CN"/>
        </w:rPr>
        <w:t>。</w:t>
      </w:r>
    </w:p>
    <w:p w14:paraId="28409B77">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（2）</w:t>
      </w:r>
      <w:r>
        <w:rPr>
          <w:rFonts w:hint="eastAsia" w:ascii="仿宋" w:hAnsi="仿宋" w:eastAsia="仿宋" w:cs="仿宋"/>
          <w:b w:val="0"/>
          <w:bCs/>
          <w:sz w:val="28"/>
          <w:szCs w:val="28"/>
          <w:highlight w:val="none"/>
        </w:rPr>
        <w:t>乙方应在甲方通知提货时及时到达甲方指定地点提货并办理各项服务事项。</w:t>
      </w:r>
    </w:p>
    <w:p w14:paraId="3941EE53">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就已起运的货物，双方应保持良好的联系，乙方对托寄物的在途风险承担责任，如在途遇突发事件或其它异常情况出现，乙方应如实报告甲方，并视情况进行紧急处理或与甲方协商解决。</w:t>
      </w:r>
    </w:p>
    <w:p w14:paraId="0D5F312A">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乙方不得擅自改动甲方的包装标准，收货人验货前，乙方保证甲方货物包装完好，封条完整，但是，法律、法规规定需要接受有关部门检查及乙方为保护甲方利益采取的必要措施除外。</w:t>
      </w:r>
    </w:p>
    <w:p w14:paraId="07DB7F26">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乙方有权要求收货人以书面形式签收货物并按照约定收取费用。</w:t>
      </w:r>
    </w:p>
    <w:p w14:paraId="4F688CEF">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（3）</w:t>
      </w:r>
      <w:r>
        <w:rPr>
          <w:rFonts w:hint="eastAsia" w:ascii="仿宋" w:hAnsi="仿宋" w:eastAsia="仿宋" w:cs="仿宋"/>
          <w:b w:val="0"/>
          <w:bCs/>
          <w:sz w:val="28"/>
          <w:szCs w:val="28"/>
          <w:highlight w:val="none"/>
        </w:rPr>
        <w:t>乙方到达目的地有义务提前通知甲方指定收货人准备接收货物。当乙方查不到收货人或收货人拒绝提取货物，乙方应及时与甲方联系，在双方确认的期限内负责保管。对于超过规定期限，仍无法交付的货物，乙方有权通知甲方并提出相关的处理意见。</w:t>
      </w:r>
    </w:p>
    <w:p w14:paraId="10BC153C">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（4）</w:t>
      </w:r>
      <w:r>
        <w:rPr>
          <w:rFonts w:hint="eastAsia" w:ascii="仿宋" w:hAnsi="仿宋" w:eastAsia="仿宋" w:cs="仿宋"/>
          <w:b w:val="0"/>
          <w:bCs/>
          <w:sz w:val="28"/>
          <w:szCs w:val="28"/>
          <w:highlight w:val="none"/>
        </w:rPr>
        <w:t>乙方有权按照本合同及附件向甲方收取服务费，根据甲方选择的附加服务收取附加费用（如当日达、保价费用等）。</w:t>
      </w:r>
    </w:p>
    <w:p w14:paraId="448CFE29">
      <w:pPr>
        <w:pStyle w:val="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（5）</w:t>
      </w:r>
      <w:r>
        <w:rPr>
          <w:rFonts w:hint="eastAsia" w:ascii="仿宋" w:hAnsi="仿宋" w:eastAsia="仿宋" w:cs="仿宋"/>
          <w:b w:val="0"/>
          <w:bCs/>
          <w:sz w:val="28"/>
          <w:szCs w:val="28"/>
          <w:highlight w:val="none"/>
        </w:rPr>
        <w:t>根据国家法律法规的规定，应国家司法、行政机关的要求，或出于安检的需要，乙方可以对托寄物开箱验视。如发现托寄物属于不予寄递范围或含有禁寄物品，乙方有权拒收或退回，并有权收取所发生的实际费用。</w:t>
      </w:r>
    </w:p>
    <w:p w14:paraId="6F48D5A0">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违约责任</w:t>
      </w:r>
    </w:p>
    <w:p w14:paraId="2B7D818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1、乙方须保证甲方快件的顺利到达(不可抗因素除外)，若因甲方原因造成乙方所寄邮件、包裹丢失，甲方按每票【】元赔偿乙方;若乙方在快件约定保值金额，则需按照乙方保值金额进行赔偿。</w:t>
      </w:r>
    </w:p>
    <w:p w14:paraId="4419A003">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2、乙方须保证甲方快件的顺利到达(不可抗因素除外)，甲乙双方在快件寄发之前若有约定到达时间，甲方必须在约定时间内送达;若因甲方未按约定及时送达造成乙方经济损失的，则甲方需按照乙方保值金额或快件签订金额的【】进行赔偿。</w:t>
      </w:r>
    </w:p>
    <w:p w14:paraId="19D5C22A">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不可抗力</w:t>
      </w:r>
    </w:p>
    <w:p w14:paraId="7A88B5C0">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就本合同而言，双方同意不可抗力系指不能预见、不能避免并不能克服的客观或意外事件，包括但不限于严重的自然灾害（如地震、洪水、泥石流、火灾等自然灾害）、恶劣的天气（台风、暴雪雨、雾霾等）、严重的社会混乱（如罢工、战争、流行病、恐怖袭击或民乱）或中国中央政府或地方政府的主管部门或机关颁布在根本上妨碍本合同履行的法律、法规。</w:t>
      </w:r>
    </w:p>
    <w:p w14:paraId="5C47A9E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如发生不可抗力事件，受不可抗力事件影响的一方在本合同项下的义务在不可抗力造成的延误期内应中止履行，并按中止的时间自动顺延履行其义务，根据不可抗力造成的影响，双方互不担责。</w:t>
      </w:r>
    </w:p>
    <w:p w14:paraId="38AD914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宣称发生不可抗力的一方应在发生不可抗力事件后立即书面通知另一方，并在其后十天内提供不可抗力发生和持续时间及该不可抗力对该方履行本合同之能力的影响的充分证据。此外，宣称发生不可抗力的一方应尽一切努力将不可抗力事件影响降到最低。</w:t>
      </w:r>
    </w:p>
    <w:p w14:paraId="1E18CD3F">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保密条款</w:t>
      </w:r>
    </w:p>
    <w:p w14:paraId="2A4F144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 xml:space="preserve">甲乙双方（其在职员工及签订本合同后离职的员工违反此条款的都由其所属方承担责任）均须严格保守在履行本合同过程中获知的对方的商业秘密。一方以任何不正当方式获取另一方商业秘密的（包括但不限于贿赂、刺探等），需承担相应的违约责任。 </w:t>
      </w:r>
    </w:p>
    <w:p w14:paraId="37B08FF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甲乙双方在履行本合同过程中，对所获得的对方的任何形式和内容的信息、资料（包括但不限于商业经营、业务、技术方面的信息、资料）、合同内容等承担保密义务。双方不得为本合同目的以外使用上述信息、资料，并不得向第三方披露、许可使用。</w:t>
      </w:r>
    </w:p>
    <w:p w14:paraId="57E244E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乙方的秘密资料包括但不限于由乙方向甲方通过口头、书面、电子或其他方式提供的一切报价数据表、报告、信息等内容。</w:t>
      </w:r>
    </w:p>
    <w:p w14:paraId="6BE3665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bCs w:val="0"/>
          <w:sz w:val="28"/>
          <w:szCs w:val="28"/>
          <w:highlight w:val="none"/>
        </w:rPr>
        <w:t>变更和解除</w:t>
      </w:r>
      <w:r>
        <w:rPr>
          <w:rFonts w:hint="eastAsia" w:ascii="仿宋" w:hAnsi="仿宋" w:eastAsia="仿宋" w:cs="仿宋"/>
          <w:b/>
          <w:bCs w:val="0"/>
          <w:sz w:val="28"/>
          <w:szCs w:val="28"/>
          <w:highlight w:val="none"/>
          <w:lang w:val="en-US" w:eastAsia="zh-CN"/>
        </w:rPr>
        <w:t>:</w:t>
      </w:r>
      <w:r>
        <w:rPr>
          <w:rFonts w:hint="eastAsia" w:ascii="仿宋" w:hAnsi="仿宋" w:eastAsia="仿宋" w:cs="仿宋"/>
          <w:b w:val="0"/>
          <w:bCs/>
          <w:sz w:val="28"/>
          <w:szCs w:val="28"/>
          <w:highlight w:val="none"/>
        </w:rPr>
        <w:t>合同期内甲乙双方不得擅自变更或解除合同，如果确有特殊原因不能继续履行或者需要变更时，需经甲乙双方书面同意。变更或解除必须提前30天提出书面意见与对方协商，双方协商一致可以变更、解除、终止本合同。</w:t>
      </w:r>
    </w:p>
    <w:p w14:paraId="544F757B">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bCs w:val="0"/>
          <w:sz w:val="28"/>
          <w:szCs w:val="28"/>
          <w:highlight w:val="none"/>
        </w:rPr>
        <w:t>合同期限：</w:t>
      </w:r>
      <w:r>
        <w:rPr>
          <w:rFonts w:hint="eastAsia" w:ascii="仿宋" w:hAnsi="仿宋" w:eastAsia="仿宋" w:cs="仿宋"/>
          <w:b w:val="0"/>
          <w:bCs/>
          <w:sz w:val="28"/>
          <w:szCs w:val="28"/>
          <w:highlight w:val="none"/>
          <w:lang w:val="en-US" w:eastAsia="zh-CN"/>
        </w:rPr>
        <w:t>年   月   日—年   月   日。</w:t>
      </w:r>
    </w:p>
    <w:p w14:paraId="771E526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其他条款</w:t>
      </w:r>
    </w:p>
    <w:p w14:paraId="53405B44">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1、</w:t>
      </w:r>
      <w:r>
        <w:rPr>
          <w:rFonts w:hint="eastAsia" w:ascii="仿宋" w:hAnsi="仿宋" w:eastAsia="仿宋" w:cs="仿宋"/>
          <w:b w:val="0"/>
          <w:bCs/>
          <w:sz w:val="28"/>
          <w:szCs w:val="28"/>
          <w:highlight w:val="none"/>
        </w:rPr>
        <w:t>本合同未尽事宜，双方应友好协商签订补充协议。补充协议与本合同具有同等法律效力。</w:t>
      </w:r>
    </w:p>
    <w:p w14:paraId="44F741D5">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sz w:val="28"/>
          <w:szCs w:val="28"/>
          <w:highlight w:val="none"/>
        </w:rPr>
        <w:t>双方对本合同的履行发生争议时，应友好协商解决。协商不成时，双方均可向</w:t>
      </w:r>
      <w:r>
        <w:rPr>
          <w:rFonts w:hint="eastAsia" w:ascii="仿宋" w:hAnsi="仿宋" w:eastAsia="仿宋" w:cs="仿宋"/>
          <w:b w:val="0"/>
          <w:bCs/>
          <w:sz w:val="28"/>
          <w:szCs w:val="28"/>
          <w:highlight w:val="none"/>
          <w:lang w:val="en-US" w:eastAsia="zh-CN"/>
        </w:rPr>
        <w:t>甲</w:t>
      </w:r>
      <w:r>
        <w:rPr>
          <w:rFonts w:hint="eastAsia" w:ascii="仿宋" w:hAnsi="仿宋" w:eastAsia="仿宋" w:cs="仿宋"/>
          <w:b w:val="0"/>
          <w:bCs/>
          <w:sz w:val="28"/>
          <w:szCs w:val="28"/>
          <w:highlight w:val="none"/>
        </w:rPr>
        <w:t>方住所地</w:t>
      </w:r>
      <w:r>
        <w:rPr>
          <w:rFonts w:hint="eastAsia" w:ascii="仿宋" w:hAnsi="仿宋" w:eastAsia="仿宋" w:cs="仿宋"/>
          <w:b w:val="0"/>
          <w:bCs/>
          <w:sz w:val="28"/>
          <w:szCs w:val="28"/>
          <w:highlight w:val="none"/>
          <w:lang w:val="en-US" w:eastAsia="zh-CN"/>
        </w:rPr>
        <w:t>有管辖权的</w:t>
      </w:r>
      <w:r>
        <w:rPr>
          <w:rFonts w:hint="eastAsia" w:ascii="仿宋" w:hAnsi="仿宋" w:eastAsia="仿宋" w:cs="仿宋"/>
          <w:b w:val="0"/>
          <w:bCs/>
          <w:sz w:val="28"/>
          <w:szCs w:val="28"/>
          <w:highlight w:val="none"/>
        </w:rPr>
        <w:t>人民法院提起诉讼。</w:t>
      </w:r>
    </w:p>
    <w:p w14:paraId="266386F1">
      <w:pPr>
        <w:pStyle w:val="8"/>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sz w:val="28"/>
          <w:szCs w:val="36"/>
          <w:highlight w:val="none"/>
          <w:lang w:val="en-US"/>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sz w:val="28"/>
          <w:szCs w:val="28"/>
          <w:highlight w:val="none"/>
        </w:rPr>
        <w:t>本合同一式</w:t>
      </w:r>
      <w:r>
        <w:rPr>
          <w:rFonts w:hint="eastAsia" w:ascii="仿宋" w:hAnsi="仿宋" w:eastAsia="仿宋" w:cs="仿宋"/>
          <w:b w:val="0"/>
          <w:bCs/>
          <w:sz w:val="28"/>
          <w:szCs w:val="28"/>
          <w:highlight w:val="none"/>
          <w:lang w:val="en-US" w:eastAsia="zh-CN"/>
        </w:rPr>
        <w:t>肆</w:t>
      </w:r>
      <w:r>
        <w:rPr>
          <w:rFonts w:hint="eastAsia" w:ascii="仿宋" w:hAnsi="仿宋" w:eastAsia="仿宋" w:cs="仿宋"/>
          <w:b w:val="0"/>
          <w:bCs/>
          <w:sz w:val="28"/>
          <w:szCs w:val="28"/>
          <w:highlight w:val="none"/>
        </w:rPr>
        <w:t>份，双方各持</w:t>
      </w:r>
      <w:r>
        <w:rPr>
          <w:rFonts w:hint="eastAsia" w:ascii="仿宋" w:hAnsi="仿宋" w:eastAsia="仿宋" w:cs="仿宋"/>
          <w:b w:val="0"/>
          <w:bCs/>
          <w:sz w:val="28"/>
          <w:szCs w:val="28"/>
          <w:highlight w:val="none"/>
          <w:lang w:val="en-US" w:eastAsia="zh-CN"/>
        </w:rPr>
        <w:t>贰</w:t>
      </w:r>
      <w:r>
        <w:rPr>
          <w:rFonts w:hint="eastAsia" w:ascii="仿宋" w:hAnsi="仿宋" w:eastAsia="仿宋" w:cs="仿宋"/>
          <w:b w:val="0"/>
          <w:bCs/>
          <w:sz w:val="28"/>
          <w:szCs w:val="28"/>
          <w:highlight w:val="none"/>
        </w:rPr>
        <w:t>份，经</w:t>
      </w:r>
      <w:r>
        <w:rPr>
          <w:rFonts w:hint="eastAsia" w:ascii="仿宋" w:hAnsi="仿宋" w:eastAsia="仿宋" w:cs="仿宋"/>
          <w:b w:val="0"/>
          <w:bCs w:val="0"/>
          <w:sz w:val="28"/>
          <w:szCs w:val="28"/>
          <w:highlight w:val="none"/>
        </w:rPr>
        <w:t>双方签字盖章后生效，具</w:t>
      </w:r>
      <w:r>
        <w:rPr>
          <w:rFonts w:hint="eastAsia" w:ascii="仿宋" w:hAnsi="仿宋" w:eastAsia="仿宋" w:cs="仿宋"/>
          <w:b w:val="0"/>
          <w:bCs w:val="0"/>
          <w:sz w:val="28"/>
          <w:szCs w:val="28"/>
          <w:highlight w:val="none"/>
          <w:lang w:val="en-US" w:eastAsia="zh-CN"/>
        </w:rPr>
        <w:t>有</w:t>
      </w:r>
      <w:r>
        <w:rPr>
          <w:rFonts w:hint="eastAsia" w:ascii="仿宋" w:hAnsi="仿宋" w:eastAsia="仿宋" w:cs="仿宋"/>
          <w:b w:val="0"/>
          <w:bCs w:val="0"/>
          <w:sz w:val="28"/>
          <w:szCs w:val="28"/>
          <w:highlight w:val="none"/>
        </w:rPr>
        <w:t>同等法律效力。</w:t>
      </w:r>
    </w:p>
    <w:p w14:paraId="4C1EFA08">
      <w:pPr>
        <w:autoSpaceDE/>
        <w:autoSpaceDN/>
        <w:adjustRightInd w:val="0"/>
        <w:snapToGrid w:val="0"/>
        <w:spacing w:line="300" w:lineRule="auto"/>
        <w:jc w:val="both"/>
        <w:rPr>
          <w:rFonts w:hint="default"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附件：    1.报价函</w:t>
      </w:r>
    </w:p>
    <w:p w14:paraId="1247AD68">
      <w:pPr>
        <w:topLinePunct/>
        <w:autoSpaceDE/>
        <w:autoSpaceDN/>
        <w:spacing w:line="360" w:lineRule="auto"/>
        <w:ind w:firstLine="1400" w:firstLineChars="500"/>
        <w:rPr>
          <w:rFonts w:hint="default"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2.售后服务承诺函</w:t>
      </w:r>
    </w:p>
    <w:p w14:paraId="7DA0A1C0">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（以下无正文）</w:t>
      </w:r>
    </w:p>
    <w:p w14:paraId="1594ED64">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p>
    <w:p w14:paraId="5BC6F458">
      <w:pPr>
        <w:topLinePunct/>
        <w:spacing w:line="360" w:lineRule="auto"/>
        <w:ind w:firstLine="560" w:firstLineChars="200"/>
        <w:rPr>
          <w:rFonts w:hint="eastAsia" w:ascii="仿宋" w:hAnsi="仿宋" w:eastAsia="仿宋" w:cs="仿宋"/>
          <w:b w:val="0"/>
          <w:bCs w:val="0"/>
          <w:sz w:val="28"/>
          <w:szCs w:val="28"/>
          <w:highlight w:val="none"/>
          <w:lang w:val="en-US" w:eastAsia="zh-CN" w:bidi="zh-CN"/>
        </w:rPr>
      </w:pPr>
    </w:p>
    <w:tbl>
      <w:tblPr>
        <w:tblStyle w:val="5"/>
        <w:tblW w:w="8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5"/>
        <w:gridCol w:w="4268"/>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tcPr>
          <w:p w14:paraId="166A4401">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br w:type="page"/>
            </w:r>
            <w:r>
              <w:rPr>
                <w:rFonts w:hint="eastAsia" w:ascii="仿宋" w:hAnsi="仿宋" w:eastAsia="仿宋" w:cs="仿宋"/>
                <w:b w:val="0"/>
                <w:bCs w:val="0"/>
                <w:sz w:val="28"/>
                <w:szCs w:val="28"/>
                <w:highlight w:val="none"/>
                <w:lang w:val="zh-CN" w:eastAsia="zh-CN" w:bidi="zh-CN"/>
              </w:rPr>
              <w:t>甲方：</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（盖章）</w:t>
            </w:r>
          </w:p>
          <w:p w14:paraId="05BF9A95">
            <w:pPr>
              <w:snapToGrid w:val="0"/>
              <w:jc w:val="right"/>
              <w:rPr>
                <w:rFonts w:hint="eastAsia" w:ascii="仿宋" w:hAnsi="仿宋" w:eastAsia="仿宋" w:cs="仿宋"/>
                <w:b w:val="0"/>
                <w:bCs w:val="0"/>
                <w:sz w:val="28"/>
                <w:szCs w:val="28"/>
                <w:highlight w:val="none"/>
                <w:lang w:val="zh-CN" w:eastAsia="zh-CN" w:bidi="zh-CN"/>
              </w:rPr>
            </w:pPr>
          </w:p>
        </w:tc>
        <w:tc>
          <w:tcPr>
            <w:tcW w:w="4268" w:type="dxa"/>
            <w:tcBorders>
              <w:tl2br w:val="nil"/>
              <w:tr2bl w:val="nil"/>
            </w:tcBorders>
          </w:tcPr>
          <w:p w14:paraId="2299ECCB">
            <w:pPr>
              <w:snapToGrid w:val="0"/>
              <w:ind w:left="840" w:hanging="840" w:hangingChars="300"/>
              <w:jc w:val="left"/>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乙方：</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（盖章）</w:t>
            </w:r>
          </w:p>
          <w:p w14:paraId="061DF719">
            <w:pPr>
              <w:snapToGrid w:val="0"/>
              <w:ind w:left="840" w:hanging="840" w:hangingChars="300"/>
              <w:jc w:val="right"/>
              <w:rPr>
                <w:rFonts w:hint="eastAsia" w:ascii="仿宋" w:hAnsi="仿宋" w:eastAsia="仿宋" w:cs="仿宋"/>
                <w:b w:val="0"/>
                <w:bCs w:val="0"/>
                <w:sz w:val="28"/>
                <w:szCs w:val="28"/>
                <w:highlight w:val="none"/>
                <w:lang w:val="zh-CN" w:eastAsia="zh-CN" w:bidi="zh-CN"/>
              </w:rPr>
            </w:pP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18F7A0F5">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法定代表人</w:t>
            </w:r>
          </w:p>
          <w:p w14:paraId="6EE69724">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或委托代理人：          （签字）</w:t>
            </w:r>
          </w:p>
        </w:tc>
        <w:tc>
          <w:tcPr>
            <w:tcW w:w="4268" w:type="dxa"/>
            <w:tcBorders>
              <w:tl2br w:val="nil"/>
              <w:tr2bl w:val="nil"/>
            </w:tcBorders>
            <w:vAlign w:val="center"/>
          </w:tcPr>
          <w:p w14:paraId="1F412C80">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法定代表人</w:t>
            </w:r>
          </w:p>
          <w:p w14:paraId="2254FE0C">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或委托代理人：       （签字）</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4F97715E">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en-US" w:eastAsia="zh-CN" w:bidi="zh-CN"/>
              </w:rPr>
              <w:t>经办人：</w:t>
            </w:r>
          </w:p>
        </w:tc>
        <w:tc>
          <w:tcPr>
            <w:tcW w:w="4268" w:type="dxa"/>
            <w:tcBorders>
              <w:tl2br w:val="nil"/>
              <w:tr2bl w:val="nil"/>
            </w:tcBorders>
            <w:vAlign w:val="center"/>
          </w:tcPr>
          <w:p w14:paraId="7FE4F843">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en-US" w:eastAsia="zh-CN" w:bidi="zh-CN"/>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5DD4E97B">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开户银行：</w:t>
            </w:r>
          </w:p>
        </w:tc>
        <w:tc>
          <w:tcPr>
            <w:tcW w:w="4268" w:type="dxa"/>
            <w:tcBorders>
              <w:tl2br w:val="nil"/>
              <w:tr2bl w:val="nil"/>
            </w:tcBorders>
            <w:vAlign w:val="center"/>
          </w:tcPr>
          <w:p w14:paraId="4C0DF7A3">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开户银行：</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513BD053">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开户账号：</w:t>
            </w:r>
          </w:p>
        </w:tc>
        <w:tc>
          <w:tcPr>
            <w:tcW w:w="4268" w:type="dxa"/>
            <w:tcBorders>
              <w:tl2br w:val="nil"/>
              <w:tr2bl w:val="nil"/>
            </w:tcBorders>
            <w:vAlign w:val="center"/>
          </w:tcPr>
          <w:p w14:paraId="7EB3DA96">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zh-CN" w:eastAsia="zh-CN" w:bidi="zh-CN"/>
              </w:rPr>
              <w:t>开户账号：</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25B08A95">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地址：</w:t>
            </w:r>
          </w:p>
        </w:tc>
        <w:tc>
          <w:tcPr>
            <w:tcW w:w="4268" w:type="dxa"/>
            <w:tcBorders>
              <w:tl2br w:val="nil"/>
              <w:tr2bl w:val="nil"/>
            </w:tcBorders>
            <w:vAlign w:val="center"/>
          </w:tcPr>
          <w:p w14:paraId="00C12EEE">
            <w:pPr>
              <w:snapToGrid w:val="0"/>
              <w:jc w:val="both"/>
              <w:rPr>
                <w:rFonts w:hint="eastAsia" w:ascii="仿宋" w:hAnsi="仿宋" w:eastAsia="仿宋" w:cs="仿宋"/>
                <w:b w:val="0"/>
                <w:bCs w:val="0"/>
                <w:sz w:val="28"/>
                <w:szCs w:val="28"/>
                <w:highlight w:val="none"/>
                <w:lang w:val="en-US" w:eastAsia="zh-CN" w:bidi="zh-CN"/>
              </w:rPr>
            </w:pPr>
            <w:r>
              <w:rPr>
                <w:rFonts w:hint="eastAsia" w:ascii="仿宋" w:hAnsi="仿宋" w:eastAsia="仿宋" w:cs="仿宋"/>
                <w:b w:val="0"/>
                <w:bCs w:val="0"/>
                <w:sz w:val="28"/>
                <w:szCs w:val="28"/>
                <w:highlight w:val="none"/>
                <w:lang w:val="en-US" w:eastAsia="zh-CN" w:bidi="zh-CN"/>
              </w:rPr>
              <w:t>地址：</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85" w:type="dxa"/>
            <w:tcBorders>
              <w:tl2br w:val="nil"/>
              <w:tr2bl w:val="nil"/>
            </w:tcBorders>
            <w:vAlign w:val="center"/>
          </w:tcPr>
          <w:p w14:paraId="306204D0">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时间：    年  月  日</w:t>
            </w:r>
          </w:p>
        </w:tc>
        <w:tc>
          <w:tcPr>
            <w:tcW w:w="4268" w:type="dxa"/>
            <w:tcBorders>
              <w:tl2br w:val="nil"/>
              <w:tr2bl w:val="nil"/>
            </w:tcBorders>
            <w:vAlign w:val="center"/>
          </w:tcPr>
          <w:p w14:paraId="3B5F6D87">
            <w:pPr>
              <w:snapToGrid w:val="0"/>
              <w:jc w:val="both"/>
              <w:rPr>
                <w:rFonts w:hint="eastAsia" w:ascii="仿宋" w:hAnsi="仿宋" w:eastAsia="仿宋" w:cs="仿宋"/>
                <w:b w:val="0"/>
                <w:bCs w:val="0"/>
                <w:sz w:val="28"/>
                <w:szCs w:val="28"/>
                <w:highlight w:val="none"/>
                <w:lang w:val="zh-CN" w:eastAsia="zh-CN" w:bidi="zh-CN"/>
              </w:rPr>
            </w:pPr>
            <w:r>
              <w:rPr>
                <w:rFonts w:hint="eastAsia" w:ascii="仿宋" w:hAnsi="仿宋" w:eastAsia="仿宋" w:cs="仿宋"/>
                <w:b w:val="0"/>
                <w:bCs w:val="0"/>
                <w:sz w:val="28"/>
                <w:szCs w:val="28"/>
                <w:highlight w:val="none"/>
                <w:lang w:val="zh-CN" w:eastAsia="zh-CN" w:bidi="zh-CN"/>
              </w:rPr>
              <w:t xml:space="preserve">时间： </w:t>
            </w:r>
            <w:r>
              <w:rPr>
                <w:rFonts w:hint="eastAsia" w:ascii="仿宋" w:hAnsi="仿宋" w:eastAsia="仿宋" w:cs="仿宋"/>
                <w:b w:val="0"/>
                <w:bCs w:val="0"/>
                <w:sz w:val="28"/>
                <w:szCs w:val="28"/>
                <w:highlight w:val="none"/>
                <w:lang w:val="en-US" w:eastAsia="zh-CN" w:bidi="zh-CN"/>
              </w:rPr>
              <w:t xml:space="preserve"> </w:t>
            </w:r>
            <w:r>
              <w:rPr>
                <w:rFonts w:hint="eastAsia" w:ascii="仿宋" w:hAnsi="仿宋" w:eastAsia="仿宋" w:cs="仿宋"/>
                <w:b w:val="0"/>
                <w:bCs w:val="0"/>
                <w:sz w:val="28"/>
                <w:szCs w:val="28"/>
                <w:highlight w:val="none"/>
                <w:lang w:val="zh-CN" w:eastAsia="zh-CN" w:bidi="zh-CN"/>
              </w:rPr>
              <w:t xml:space="preserve">  年  月  日</w:t>
            </w:r>
          </w:p>
        </w:tc>
      </w:tr>
      <w:bookmarkEnd w:id="0"/>
      <w:bookmarkEnd w:id="1"/>
      <w:bookmarkEnd w:id="2"/>
      <w:bookmarkEnd w:id="3"/>
      <w:bookmarkEnd w:id="4"/>
      <w:bookmarkEnd w:id="5"/>
    </w:tbl>
    <w:p w14:paraId="440E698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4F57">
    <w:pPr>
      <w:pStyle w:val="2"/>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61008">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B61008">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E422">
    <w:pPr>
      <w:pStyle w:val="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D8C05"/>
    <w:multiLevelType w:val="singleLevel"/>
    <w:tmpl w:val="E15D8C05"/>
    <w:lvl w:ilvl="0" w:tentative="0">
      <w:start w:val="1"/>
      <w:numFmt w:val="chineseCountingThousand"/>
      <w:suff w:val="space"/>
      <w:lvlText w:val="%1、"/>
      <w:lvlJc w:val="left"/>
      <w:pPr>
        <w:ind w:left="505" w:leftChars="0" w:hanging="85" w:firstLineChars="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A707A"/>
    <w:rsid w:val="35CF3DDD"/>
    <w:rsid w:val="46C202E8"/>
    <w:rsid w:val="48A759E8"/>
    <w:rsid w:val="4CD43E1A"/>
    <w:rsid w:val="56336B0D"/>
    <w:rsid w:val="6D2C48A8"/>
    <w:rsid w:val="71BE1012"/>
    <w:rsid w:val="75C9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稻壳合同样式 1级"/>
    <w:basedOn w:val="1"/>
    <w:qFormat/>
    <w:uiPriority w:val="0"/>
    <w:pPr>
      <w:spacing w:line="400" w:lineRule="exact"/>
      <w:ind w:left="505" w:hanging="85"/>
      <w:jc w:val="left"/>
      <w:outlineLvl w:val="0"/>
    </w:pPr>
    <w:rPr>
      <w:rFonts w:hint="eastAsia" w:ascii="宋体" w:hAnsi="宋体" w:eastAsia="宋体" w:cs="宋体"/>
      <w:color w:val="000000"/>
      <w:sz w:val="28"/>
    </w:rPr>
  </w:style>
  <w:style w:type="paragraph" w:customStyle="1" w:styleId="8">
    <w:name w:val="稻壳合同样式 2级"/>
    <w:basedOn w:val="1"/>
    <w:qFormat/>
    <w:uiPriority w:val="0"/>
    <w:pPr>
      <w:spacing w:line="400" w:lineRule="exact"/>
      <w:ind w:left="255" w:hanging="28"/>
      <w:jc w:val="left"/>
      <w:outlineLvl w:val="1"/>
    </w:pPr>
    <w:rPr>
      <w:rFonts w:hint="eastAsia" w:ascii="仿宋_GB2312" w:hAnsi="宋体" w:eastAsia="仿宋_GB2312" w:cs="仿宋_GB2312"/>
      <w:sz w:val="28"/>
    </w:rPr>
  </w:style>
  <w:style w:type="paragraph" w:customStyle="1" w:styleId="9">
    <w:name w:val="稻壳合同样式 3级"/>
    <w:basedOn w:val="1"/>
    <w:qFormat/>
    <w:uiPriority w:val="0"/>
    <w:pPr>
      <w:spacing w:line="400" w:lineRule="exact"/>
      <w:ind w:left="227"/>
      <w:jc w:val="left"/>
      <w:outlineLvl w:val="2"/>
    </w:pPr>
    <w:rPr>
      <w:rFonts w:hint="eastAsia" w:ascii="仿宋_GB2312" w:hAnsi="宋体" w:eastAsia="仿宋_GB2312" w:cs="仿宋_GB2312"/>
      <w:b/>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3142</Words>
  <Characters>3148</Characters>
  <Lines>0</Lines>
  <Paragraphs>0</Paragraphs>
  <TotalTime>0</TotalTime>
  <ScaleCrop>false</ScaleCrop>
  <LinksUpToDate>false</LinksUpToDate>
  <CharactersWithSpaces>3233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2026-03-19T06:44:00Z</dcterms:created>
  <dc:creator>qifei</dc:creator>
  <cp:lastModifiedBy>严R</cp:lastModifiedBy>
  <dcterms:modified xsi:type="dcterms:W3CDTF">2026-06-12T11:32:01Z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eyJoZGlkIjoiMzA3YThjZWRiMjI1ZTdhNzg4ODY3MDhhYzZmNjU0YjAiLCJ1c2VySWQiOiIzNTU3MTU2NzkifQ==</vt:lpwstr>
  </property>
  <property fmtid="{D5CDD505-2E9C-101B-9397-08002B2CF9AE}" pid="4" name="ICV">
    <vt:lpwstr>50A8073AB3894046B2A59FD8158A0422_13</vt:lpwstr>
  </property>
</Properties>
</file>