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57ED8">
      <w:pPr>
        <w:pStyle w:val="5"/>
        <w:pageBreakBefore w:val="0"/>
        <w:kinsoku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</w:p>
    <w:p w14:paraId="554F10EB">
      <w:pPr>
        <w:pStyle w:val="5"/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  <w:t>报损/报废固定资产清单</w:t>
      </w:r>
    </w:p>
    <w:tbl>
      <w:tblPr>
        <w:tblStyle w:val="3"/>
        <w:tblW w:w="4977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9"/>
        <w:gridCol w:w="2349"/>
        <w:gridCol w:w="2635"/>
        <w:gridCol w:w="1743"/>
        <w:gridCol w:w="987"/>
      </w:tblGrid>
      <w:tr w14:paraId="3CFA1A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E6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56D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资产类别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CA5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资产名称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72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81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79E660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7438"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9E46"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运输设备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76B2"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长城皮卡车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85A9"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CC1031PS28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E2CC"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389033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B25AE"/>
    <w:rsid w:val="55D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2026-07-03T03:11:00Z</dcterms:created>
  <dc:creator>çå°</dc:creator>
  <cp:lastModifiedBy>çå°</cp:lastModifiedBy>
  <dcterms:modified xsi:type="dcterms:W3CDTF">2026-07-03T03:12:30Z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EB0B4AFD5D49418D94ABE0EE0C7F1D08_11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