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C05EEC">
      <w:pPr>
        <w:pStyle w:val="3"/>
        <w:widowControl/>
        <w:spacing w:beforeAutospacing="0" w:afterAutospacing="0" w:line="600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 w14:paraId="6F3752C6">
      <w:pPr>
        <w:pStyle w:val="3"/>
        <w:widowControl/>
        <w:spacing w:beforeAutospacing="0" w:afterAutospacing="0"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调研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答复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函</w:t>
      </w:r>
    </w:p>
    <w:p w14:paraId="59B30BE5">
      <w:pPr>
        <w:pStyle w:val="3"/>
        <w:widowControl/>
        <w:spacing w:beforeAutospacing="0" w:afterAutospacing="0" w:line="360" w:lineRule="auto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19578849">
      <w:pPr>
        <w:pStyle w:val="3"/>
        <w:widowControl/>
        <w:spacing w:beforeAutospacing="0" w:afterAutospacing="0" w:line="360" w:lineRule="auto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四川济通工程试验检测有限公司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：</w:t>
      </w:r>
    </w:p>
    <w:p w14:paraId="366A3B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我方已仔细研究</w:t>
      </w:r>
      <w:r>
        <w:rPr>
          <w:rFonts w:hint="eastAsia" w:ascii="宋体" w:hAnsi="宋体" w:eastAsia="宋体" w:cs="宋体"/>
          <w:sz w:val="24"/>
          <w:szCs w:val="24"/>
          <w:highlight w:val="none"/>
          <w:u w:val="single"/>
          <w:lang w:val="en-US" w:eastAsia="zh-CN"/>
        </w:rPr>
        <w:t xml:space="preserve">                       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邀请报价文件的全部内容，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根据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该邀请报价文件的规定，具体报价见下表：</w:t>
      </w:r>
    </w:p>
    <w:tbl>
      <w:tblPr>
        <w:tblStyle w:val="5"/>
        <w:tblW w:w="141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1"/>
        <w:gridCol w:w="1094"/>
        <w:gridCol w:w="1280"/>
        <w:gridCol w:w="5165"/>
        <w:gridCol w:w="837"/>
        <w:gridCol w:w="664"/>
        <w:gridCol w:w="1200"/>
        <w:gridCol w:w="1280"/>
        <w:gridCol w:w="2134"/>
      </w:tblGrid>
      <w:tr w14:paraId="03415A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521" w:type="dxa"/>
            <w:noWrap w:val="0"/>
            <w:vAlign w:val="center"/>
          </w:tcPr>
          <w:p w14:paraId="260DCF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2374" w:type="dxa"/>
            <w:gridSpan w:val="2"/>
            <w:noWrap w:val="0"/>
            <w:vAlign w:val="center"/>
          </w:tcPr>
          <w:p w14:paraId="14494D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  <w:vertAlign w:val="baseline"/>
                <w:lang w:val="en-US" w:eastAsia="zh-CN"/>
              </w:rPr>
              <w:t>服务内容</w:t>
            </w:r>
          </w:p>
        </w:tc>
        <w:tc>
          <w:tcPr>
            <w:tcW w:w="5165" w:type="dxa"/>
            <w:noWrap w:val="0"/>
            <w:vAlign w:val="center"/>
          </w:tcPr>
          <w:p w14:paraId="6E4A95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  <w:vertAlign w:val="baseline"/>
                <w:lang w:val="en-US" w:eastAsia="zh-CN"/>
              </w:rPr>
              <w:t>详情</w:t>
            </w:r>
          </w:p>
        </w:tc>
        <w:tc>
          <w:tcPr>
            <w:tcW w:w="837" w:type="dxa"/>
            <w:noWrap w:val="0"/>
            <w:vAlign w:val="center"/>
          </w:tcPr>
          <w:p w14:paraId="779303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  <w:vertAlign w:val="baseline"/>
                <w:lang w:val="en-US" w:eastAsia="zh-CN"/>
              </w:rPr>
              <w:t>单位</w:t>
            </w:r>
          </w:p>
        </w:tc>
        <w:tc>
          <w:tcPr>
            <w:tcW w:w="664" w:type="dxa"/>
            <w:noWrap w:val="0"/>
            <w:vAlign w:val="center"/>
          </w:tcPr>
          <w:p w14:paraId="7936BC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vertAlign w:val="baseline"/>
                <w:lang w:val="en-US" w:eastAsia="zh-CN"/>
              </w:rPr>
              <w:t>数量</w:t>
            </w:r>
          </w:p>
        </w:tc>
        <w:tc>
          <w:tcPr>
            <w:tcW w:w="1200" w:type="dxa"/>
            <w:noWrap w:val="0"/>
            <w:vAlign w:val="center"/>
          </w:tcPr>
          <w:p w14:paraId="7DB836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  <w:vertAlign w:val="baseline"/>
                <w:lang w:val="en-US" w:eastAsia="zh-CN"/>
              </w:rPr>
              <w:t>单价报价（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vertAlign w:val="baseline"/>
                <w:lang w:val="en-US" w:eastAsia="zh-CN"/>
              </w:rPr>
              <w:t>万</w:t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  <w:vertAlign w:val="baseline"/>
                <w:lang w:val="en-US" w:eastAsia="zh-CN"/>
              </w:rPr>
              <w:t>元）</w:t>
            </w:r>
          </w:p>
        </w:tc>
        <w:tc>
          <w:tcPr>
            <w:tcW w:w="1280" w:type="dxa"/>
            <w:noWrap w:val="0"/>
            <w:vAlign w:val="center"/>
          </w:tcPr>
          <w:p w14:paraId="44BFD5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  <w:t>税率（%）</w:t>
            </w:r>
          </w:p>
        </w:tc>
        <w:tc>
          <w:tcPr>
            <w:tcW w:w="2134" w:type="dxa"/>
            <w:noWrap w:val="0"/>
            <w:vAlign w:val="center"/>
          </w:tcPr>
          <w:p w14:paraId="634848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  <w:t>备注</w:t>
            </w:r>
          </w:p>
        </w:tc>
      </w:tr>
      <w:tr w14:paraId="139134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2" w:hRule="atLeast"/>
        </w:trPr>
        <w:tc>
          <w:tcPr>
            <w:tcW w:w="521" w:type="dxa"/>
            <w:noWrap w:val="0"/>
            <w:vAlign w:val="center"/>
          </w:tcPr>
          <w:p w14:paraId="7B5BB4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1094" w:type="dxa"/>
            <w:shd w:val="clear" w:color="auto" w:fill="auto"/>
            <w:noWrap w:val="0"/>
            <w:vAlign w:val="center"/>
          </w:tcPr>
          <w:p w14:paraId="6CCB72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0"/>
                <w:szCs w:val="20"/>
                <w:lang w:val="en-US" w:eastAsia="zh-CN"/>
              </w:rPr>
              <w:t>编制驻地项目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0"/>
                <w:szCs w:val="20"/>
                <w:lang w:val="en-US" w:eastAsia="zh-CN"/>
              </w:rPr>
              <w:t>综合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20"/>
                <w:szCs w:val="20"/>
                <w:lang w:val="en-US" w:eastAsia="zh-CN"/>
              </w:rPr>
              <w:t>应急预案</w:t>
            </w:r>
          </w:p>
        </w:tc>
        <w:tc>
          <w:tcPr>
            <w:tcW w:w="1280" w:type="dxa"/>
            <w:noWrap w:val="0"/>
            <w:vAlign w:val="center"/>
          </w:tcPr>
          <w:p w14:paraId="793923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0"/>
                <w:szCs w:val="20"/>
                <w:lang w:val="en-US" w:eastAsia="zh-CN"/>
              </w:rPr>
              <w:t>编制驻地项目综合应急预案</w:t>
            </w:r>
          </w:p>
        </w:tc>
        <w:tc>
          <w:tcPr>
            <w:tcW w:w="5165" w:type="dxa"/>
            <w:noWrap w:val="0"/>
            <w:vAlign w:val="center"/>
          </w:tcPr>
          <w:p w14:paraId="68E6D9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1.为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所有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驻地编写综合应急预案；</w:t>
            </w:r>
          </w:p>
          <w:p w14:paraId="1B2FF2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2.预案应包含适用范围、应急组织机构及职责、应急响应、后期处置、应急保障等内容；</w:t>
            </w:r>
          </w:p>
          <w:p w14:paraId="5BF53B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3.编写完成后需组织开展预案评审，如未通过评审，需修改预案并再次开展评审，直至通过。</w:t>
            </w:r>
          </w:p>
        </w:tc>
        <w:tc>
          <w:tcPr>
            <w:tcW w:w="837" w:type="dxa"/>
            <w:noWrap w:val="0"/>
            <w:vAlign w:val="center"/>
          </w:tcPr>
          <w:p w14:paraId="493088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  <w:t>份</w:t>
            </w:r>
          </w:p>
        </w:tc>
        <w:tc>
          <w:tcPr>
            <w:tcW w:w="664" w:type="dxa"/>
            <w:noWrap w:val="0"/>
            <w:vAlign w:val="center"/>
          </w:tcPr>
          <w:p w14:paraId="569A58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  <w:t>28</w:t>
            </w:r>
          </w:p>
        </w:tc>
        <w:tc>
          <w:tcPr>
            <w:tcW w:w="1200" w:type="dxa"/>
            <w:noWrap w:val="0"/>
            <w:vAlign w:val="center"/>
          </w:tcPr>
          <w:p w14:paraId="3FC758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80" w:type="dxa"/>
            <w:noWrap w:val="0"/>
            <w:vAlign w:val="center"/>
          </w:tcPr>
          <w:p w14:paraId="0C48C1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2134" w:type="dxa"/>
            <w:noWrap w:val="0"/>
            <w:vAlign w:val="center"/>
          </w:tcPr>
          <w:p w14:paraId="684926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  <w:t>驻地项目分布在四川省内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  <w:t>各地</w:t>
            </w:r>
            <w:r>
              <w:rPr>
                <w:rFonts w:hint="default" w:ascii="Times New Roman" w:hAnsi="Times New Roman" w:eastAsia="仿宋_GB2312" w:cs="Times New Roman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  <w:t>，具体地址详见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  <w:t>附件2清</w:t>
            </w:r>
            <w:r>
              <w:rPr>
                <w:rFonts w:hint="default" w:ascii="Times New Roman" w:hAnsi="Times New Roman" w:eastAsia="仿宋_GB2312" w:cs="Times New Roman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  <w:t>单</w:t>
            </w:r>
          </w:p>
        </w:tc>
      </w:tr>
      <w:tr w14:paraId="00E533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8897" w:type="dxa"/>
            <w:gridSpan w:val="5"/>
            <w:shd w:val="clear" w:color="auto" w:fill="auto"/>
            <w:noWrap w:val="0"/>
            <w:vAlign w:val="center"/>
          </w:tcPr>
          <w:p w14:paraId="6BA8A4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righ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  <w:t>小计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  <w:t>（含税）：</w:t>
            </w:r>
          </w:p>
        </w:tc>
        <w:tc>
          <w:tcPr>
            <w:tcW w:w="5278" w:type="dxa"/>
            <w:gridSpan w:val="4"/>
            <w:noWrap w:val="0"/>
            <w:vAlign w:val="center"/>
          </w:tcPr>
          <w:p w14:paraId="3ECB1F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221571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3" w:hRule="atLeast"/>
        </w:trPr>
        <w:tc>
          <w:tcPr>
            <w:tcW w:w="521" w:type="dxa"/>
            <w:noWrap w:val="0"/>
            <w:vAlign w:val="center"/>
          </w:tcPr>
          <w:p w14:paraId="1CF5AF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1094" w:type="dxa"/>
            <w:vMerge w:val="restart"/>
            <w:shd w:val="clear" w:color="auto" w:fill="auto"/>
            <w:noWrap w:val="0"/>
            <w:vAlign w:val="center"/>
          </w:tcPr>
          <w:p w14:paraId="4CC5E9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0"/>
                <w:szCs w:val="20"/>
                <w:lang w:val="en-US" w:eastAsia="zh-CN"/>
              </w:rPr>
              <w:t>编制驻地项目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0"/>
                <w:szCs w:val="20"/>
                <w:lang w:val="en-US" w:eastAsia="zh-CN"/>
              </w:rPr>
              <w:t>专项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20"/>
                <w:szCs w:val="20"/>
                <w:lang w:val="en-US" w:eastAsia="zh-CN"/>
              </w:rPr>
              <w:t>应急预案</w:t>
            </w:r>
          </w:p>
        </w:tc>
        <w:tc>
          <w:tcPr>
            <w:tcW w:w="1280" w:type="dxa"/>
            <w:noWrap w:val="0"/>
            <w:vAlign w:val="center"/>
          </w:tcPr>
          <w:p w14:paraId="32E3B6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0"/>
                <w:szCs w:val="20"/>
                <w:lang w:val="en-US" w:eastAsia="zh-CN"/>
              </w:rPr>
              <w:t>编制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瓦斯隧道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0"/>
                <w:szCs w:val="20"/>
                <w:lang w:val="en-US" w:eastAsia="zh-CN"/>
              </w:rPr>
              <w:t>专项应急预案</w:t>
            </w:r>
          </w:p>
        </w:tc>
        <w:tc>
          <w:tcPr>
            <w:tcW w:w="5165" w:type="dxa"/>
            <w:noWrap w:val="0"/>
            <w:vAlign w:val="center"/>
          </w:tcPr>
          <w:p w14:paraId="679150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1.为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需要的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驻地编写瓦斯隧道专项应急预案；</w:t>
            </w:r>
          </w:p>
          <w:p w14:paraId="5F98BD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2.专项应急预案应包含适用范围、应急组织机构及职责、应急响应、处置措施、应急保障等内容；</w:t>
            </w:r>
          </w:p>
          <w:p w14:paraId="6F98FE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3.编写完成后需组织开展预案评审，如未通过评审，需修改预案并再次开展评审，直至通过。</w:t>
            </w:r>
          </w:p>
        </w:tc>
        <w:tc>
          <w:tcPr>
            <w:tcW w:w="837" w:type="dxa"/>
            <w:noWrap w:val="0"/>
            <w:vAlign w:val="center"/>
          </w:tcPr>
          <w:p w14:paraId="0ADBF3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  <w:t>份</w:t>
            </w:r>
          </w:p>
        </w:tc>
        <w:tc>
          <w:tcPr>
            <w:tcW w:w="664" w:type="dxa"/>
            <w:noWrap w:val="0"/>
            <w:vAlign w:val="center"/>
          </w:tcPr>
          <w:p w14:paraId="26E140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  <w:t>12</w:t>
            </w:r>
          </w:p>
        </w:tc>
        <w:tc>
          <w:tcPr>
            <w:tcW w:w="1200" w:type="dxa"/>
            <w:noWrap w:val="0"/>
            <w:vAlign w:val="center"/>
          </w:tcPr>
          <w:p w14:paraId="5BC2A4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80" w:type="dxa"/>
            <w:noWrap w:val="0"/>
            <w:vAlign w:val="center"/>
          </w:tcPr>
          <w:p w14:paraId="50E15F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2134" w:type="dxa"/>
            <w:vMerge w:val="restart"/>
            <w:noWrap w:val="0"/>
            <w:vAlign w:val="center"/>
          </w:tcPr>
          <w:p w14:paraId="5B5D04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  <w:t>驻地项目分布在四川省内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  <w:t>各地</w:t>
            </w:r>
            <w:r>
              <w:rPr>
                <w:rFonts w:hint="default" w:ascii="Times New Roman" w:hAnsi="Times New Roman" w:eastAsia="仿宋_GB2312" w:cs="Times New Roman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  <w:t>，各驻地具体地址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  <w:t>及</w:t>
            </w:r>
            <w:r>
              <w:rPr>
                <w:rFonts w:hint="default" w:ascii="Times New Roman" w:hAnsi="Times New Roman" w:eastAsia="仿宋_GB2312" w:cs="Times New Roman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  <w:t>所需的专项应急预案详见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  <w:t>附件2</w:t>
            </w:r>
            <w:r>
              <w:rPr>
                <w:rFonts w:hint="default" w:ascii="Times New Roman" w:hAnsi="Times New Roman" w:eastAsia="仿宋_GB2312" w:cs="Times New Roman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  <w:t>清单</w:t>
            </w:r>
          </w:p>
        </w:tc>
      </w:tr>
      <w:tr w14:paraId="505D49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atLeast"/>
        </w:trPr>
        <w:tc>
          <w:tcPr>
            <w:tcW w:w="521" w:type="dxa"/>
            <w:noWrap w:val="0"/>
            <w:vAlign w:val="center"/>
          </w:tcPr>
          <w:p w14:paraId="6392B6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1094" w:type="dxa"/>
            <w:vMerge w:val="continue"/>
            <w:shd w:val="clear" w:color="auto" w:fill="auto"/>
            <w:noWrap w:val="0"/>
            <w:vAlign w:val="center"/>
          </w:tcPr>
          <w:p w14:paraId="33846F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0"/>
                <w:szCs w:val="20"/>
                <w:lang w:val="en-US" w:eastAsia="zh-CN"/>
              </w:rPr>
            </w:pPr>
          </w:p>
        </w:tc>
        <w:tc>
          <w:tcPr>
            <w:tcW w:w="1280" w:type="dxa"/>
            <w:noWrap w:val="0"/>
            <w:vAlign w:val="center"/>
          </w:tcPr>
          <w:p w14:paraId="269C18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0"/>
                <w:szCs w:val="20"/>
                <w:lang w:val="en-US" w:eastAsia="zh-CN"/>
              </w:rPr>
              <w:t>编制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地质灾害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0"/>
                <w:szCs w:val="20"/>
                <w:lang w:val="en-US" w:eastAsia="zh-CN"/>
              </w:rPr>
              <w:t>专项应急预案</w:t>
            </w:r>
          </w:p>
        </w:tc>
        <w:tc>
          <w:tcPr>
            <w:tcW w:w="5165" w:type="dxa"/>
            <w:noWrap w:val="0"/>
            <w:vAlign w:val="center"/>
          </w:tcPr>
          <w:p w14:paraId="71A7FA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1为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需要的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驻地编写地质灾害专项应急预案；</w:t>
            </w:r>
          </w:p>
          <w:p w14:paraId="36BD4E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2.专项应急预案应包含适用范围、应急组织机构及职责、应急响应、处置措施、应急保障等内容；</w:t>
            </w:r>
          </w:p>
          <w:p w14:paraId="4FC50B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3.编写完成后需组织开展预案评审，如未通过评审，需修改预案并再次开展评审，直至通过。</w:t>
            </w:r>
          </w:p>
        </w:tc>
        <w:tc>
          <w:tcPr>
            <w:tcW w:w="837" w:type="dxa"/>
            <w:noWrap w:val="0"/>
            <w:vAlign w:val="center"/>
          </w:tcPr>
          <w:p w14:paraId="218529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  <w:t>份</w:t>
            </w:r>
          </w:p>
        </w:tc>
        <w:tc>
          <w:tcPr>
            <w:tcW w:w="664" w:type="dxa"/>
            <w:noWrap w:val="0"/>
            <w:vAlign w:val="center"/>
          </w:tcPr>
          <w:p w14:paraId="2853CC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  <w:t>4</w:t>
            </w:r>
          </w:p>
        </w:tc>
        <w:tc>
          <w:tcPr>
            <w:tcW w:w="1200" w:type="dxa"/>
            <w:noWrap w:val="0"/>
            <w:vAlign w:val="center"/>
          </w:tcPr>
          <w:p w14:paraId="5805FC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80" w:type="dxa"/>
            <w:noWrap w:val="0"/>
            <w:vAlign w:val="center"/>
          </w:tcPr>
          <w:p w14:paraId="758DDD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2134" w:type="dxa"/>
            <w:vMerge w:val="continue"/>
            <w:noWrap w:val="0"/>
            <w:vAlign w:val="center"/>
          </w:tcPr>
          <w:p w14:paraId="139FA9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6045F4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521" w:type="dxa"/>
            <w:noWrap w:val="0"/>
            <w:vAlign w:val="center"/>
          </w:tcPr>
          <w:p w14:paraId="6997BF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vertAlign w:val="baseline"/>
                <w:lang w:val="en-US" w:eastAsia="zh-CN"/>
              </w:rPr>
              <w:t>4</w:t>
            </w:r>
          </w:p>
        </w:tc>
        <w:tc>
          <w:tcPr>
            <w:tcW w:w="1094" w:type="dxa"/>
            <w:vMerge w:val="continue"/>
            <w:shd w:val="clear" w:color="auto" w:fill="auto"/>
            <w:noWrap w:val="0"/>
            <w:vAlign w:val="center"/>
          </w:tcPr>
          <w:p w14:paraId="753870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0"/>
                <w:szCs w:val="20"/>
                <w:lang w:val="en-US" w:eastAsia="zh-CN"/>
              </w:rPr>
            </w:pPr>
          </w:p>
        </w:tc>
        <w:tc>
          <w:tcPr>
            <w:tcW w:w="1280" w:type="dxa"/>
            <w:noWrap w:val="0"/>
            <w:vAlign w:val="center"/>
          </w:tcPr>
          <w:p w14:paraId="7BAADD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0"/>
                <w:szCs w:val="20"/>
                <w:lang w:val="en-US" w:eastAsia="zh-CN"/>
              </w:rPr>
              <w:t>编制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化学品泄露、中毒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0"/>
                <w:szCs w:val="20"/>
                <w:lang w:val="en-US" w:eastAsia="zh-CN"/>
              </w:rPr>
              <w:t>专项应急预案</w:t>
            </w:r>
          </w:p>
        </w:tc>
        <w:tc>
          <w:tcPr>
            <w:tcW w:w="5165" w:type="dxa"/>
            <w:noWrap w:val="0"/>
            <w:vAlign w:val="center"/>
          </w:tcPr>
          <w:p w14:paraId="7A1439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1.为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需要的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驻地编写化学品泄露、中毒专项应急预案；</w:t>
            </w:r>
          </w:p>
          <w:p w14:paraId="22517D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2.专项应急预案应包含适用范围、应急组织机构及职责、应急响应、处置措施、应急保障等内容；</w:t>
            </w:r>
          </w:p>
          <w:p w14:paraId="783B1B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3.编写完成后需组织开展预案评审，如未通过评审，需修改预案并再次开展评审，直至通过。</w:t>
            </w:r>
          </w:p>
        </w:tc>
        <w:tc>
          <w:tcPr>
            <w:tcW w:w="837" w:type="dxa"/>
            <w:noWrap w:val="0"/>
            <w:vAlign w:val="center"/>
          </w:tcPr>
          <w:p w14:paraId="2A5401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  <w:t>份</w:t>
            </w:r>
          </w:p>
        </w:tc>
        <w:tc>
          <w:tcPr>
            <w:tcW w:w="664" w:type="dxa"/>
            <w:noWrap w:val="0"/>
            <w:vAlign w:val="center"/>
          </w:tcPr>
          <w:p w14:paraId="1CD5B0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  <w:t>8</w:t>
            </w:r>
          </w:p>
        </w:tc>
        <w:tc>
          <w:tcPr>
            <w:tcW w:w="1200" w:type="dxa"/>
            <w:noWrap w:val="0"/>
            <w:vAlign w:val="center"/>
          </w:tcPr>
          <w:p w14:paraId="2B0081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80" w:type="dxa"/>
            <w:noWrap w:val="0"/>
            <w:vAlign w:val="center"/>
          </w:tcPr>
          <w:p w14:paraId="538F40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2134" w:type="dxa"/>
            <w:vMerge w:val="continue"/>
            <w:noWrap w:val="0"/>
            <w:vAlign w:val="center"/>
          </w:tcPr>
          <w:p w14:paraId="70E532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116F75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atLeast"/>
        </w:trPr>
        <w:tc>
          <w:tcPr>
            <w:tcW w:w="521" w:type="dxa"/>
            <w:noWrap w:val="0"/>
            <w:vAlign w:val="center"/>
          </w:tcPr>
          <w:p w14:paraId="738C48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vertAlign w:val="baseline"/>
                <w:lang w:val="en-US" w:eastAsia="zh-CN"/>
              </w:rPr>
              <w:t>5</w:t>
            </w:r>
          </w:p>
        </w:tc>
        <w:tc>
          <w:tcPr>
            <w:tcW w:w="1094" w:type="dxa"/>
            <w:vMerge w:val="continue"/>
            <w:shd w:val="clear" w:color="auto" w:fill="auto"/>
            <w:noWrap w:val="0"/>
            <w:vAlign w:val="center"/>
          </w:tcPr>
          <w:p w14:paraId="529225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0"/>
                <w:szCs w:val="20"/>
                <w:lang w:val="en-US" w:eastAsia="zh-CN"/>
              </w:rPr>
            </w:pPr>
          </w:p>
        </w:tc>
        <w:tc>
          <w:tcPr>
            <w:tcW w:w="1280" w:type="dxa"/>
            <w:noWrap w:val="0"/>
            <w:vAlign w:val="center"/>
          </w:tcPr>
          <w:p w14:paraId="2103A7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0"/>
                <w:szCs w:val="20"/>
                <w:lang w:val="en-US" w:eastAsia="zh-CN"/>
              </w:rPr>
              <w:t>编制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高原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地区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0"/>
                <w:szCs w:val="20"/>
                <w:lang w:val="en-US" w:eastAsia="zh-CN"/>
              </w:rPr>
              <w:t>专项应急预案</w:t>
            </w:r>
          </w:p>
        </w:tc>
        <w:tc>
          <w:tcPr>
            <w:tcW w:w="5165" w:type="dxa"/>
            <w:noWrap w:val="0"/>
            <w:vAlign w:val="center"/>
          </w:tcPr>
          <w:p w14:paraId="5C6A3B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1.为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需要的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驻地编写高原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地区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专项应急预案；</w:t>
            </w:r>
          </w:p>
          <w:p w14:paraId="4C1FFC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2.专项应急预案应包含适用范围、应急组织机构及职责、应急响应、处置措施、应急保障等内容；</w:t>
            </w:r>
          </w:p>
          <w:p w14:paraId="2DD486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3.编写完成后需组织开展预案评审，如未通过评审，需修改预案并再次开展评审，直至通过。</w:t>
            </w:r>
          </w:p>
        </w:tc>
        <w:tc>
          <w:tcPr>
            <w:tcW w:w="837" w:type="dxa"/>
            <w:noWrap w:val="0"/>
            <w:vAlign w:val="center"/>
          </w:tcPr>
          <w:p w14:paraId="2E2381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  <w:t>份</w:t>
            </w:r>
          </w:p>
        </w:tc>
        <w:tc>
          <w:tcPr>
            <w:tcW w:w="664" w:type="dxa"/>
            <w:noWrap w:val="0"/>
            <w:vAlign w:val="center"/>
          </w:tcPr>
          <w:p w14:paraId="012E0F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  <w:t>8</w:t>
            </w:r>
          </w:p>
        </w:tc>
        <w:tc>
          <w:tcPr>
            <w:tcW w:w="1200" w:type="dxa"/>
            <w:noWrap w:val="0"/>
            <w:vAlign w:val="center"/>
          </w:tcPr>
          <w:p w14:paraId="3F057A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80" w:type="dxa"/>
            <w:noWrap w:val="0"/>
            <w:vAlign w:val="center"/>
          </w:tcPr>
          <w:p w14:paraId="03F43E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2134" w:type="dxa"/>
            <w:vMerge w:val="continue"/>
            <w:noWrap w:val="0"/>
            <w:vAlign w:val="center"/>
          </w:tcPr>
          <w:p w14:paraId="403782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1A7E36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8897" w:type="dxa"/>
            <w:gridSpan w:val="5"/>
            <w:noWrap w:val="0"/>
            <w:vAlign w:val="center"/>
          </w:tcPr>
          <w:p w14:paraId="533D2F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righ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  <w:t>小计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  <w:t>（含税）：</w:t>
            </w:r>
          </w:p>
        </w:tc>
        <w:tc>
          <w:tcPr>
            <w:tcW w:w="5278" w:type="dxa"/>
            <w:gridSpan w:val="4"/>
            <w:noWrap w:val="0"/>
            <w:vAlign w:val="center"/>
          </w:tcPr>
          <w:p w14:paraId="2D0ADD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3FD6A5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</w:trPr>
        <w:tc>
          <w:tcPr>
            <w:tcW w:w="521" w:type="dxa"/>
            <w:noWrap w:val="0"/>
            <w:vAlign w:val="center"/>
          </w:tcPr>
          <w:p w14:paraId="5DC704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1094" w:type="dxa"/>
            <w:shd w:val="clear" w:color="auto" w:fill="auto"/>
            <w:noWrap w:val="0"/>
            <w:vAlign w:val="center"/>
          </w:tcPr>
          <w:p w14:paraId="0CBDB30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0"/>
                <w:szCs w:val="20"/>
                <w:lang w:val="en-US" w:eastAsia="zh-CN"/>
              </w:rPr>
              <w:t>应急演练</w:t>
            </w:r>
          </w:p>
        </w:tc>
        <w:tc>
          <w:tcPr>
            <w:tcW w:w="1280" w:type="dxa"/>
            <w:noWrap w:val="0"/>
            <w:vAlign w:val="center"/>
          </w:tcPr>
          <w:p w14:paraId="0194F02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5165" w:type="dxa"/>
            <w:noWrap w:val="0"/>
            <w:vAlign w:val="center"/>
          </w:tcPr>
          <w:p w14:paraId="2994BC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1.为每处驻地编写一份应急演练方案（预计共28处驻地）并根据应急演练方案开展应急演练；</w:t>
            </w:r>
          </w:p>
          <w:p w14:paraId="676510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2.演练方案应包含演练目的及要求、事故（灾害）情景、参与人员及范围、时间与地点、主要任务及职责、工作步骤、支撑及保障条件等内容（可根据驻地客观情况进行更改）；</w:t>
            </w:r>
          </w:p>
          <w:p w14:paraId="2205D52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3.编写完成后需经过驻地负责人及济通公司安委办审核</w:t>
            </w:r>
          </w:p>
          <w:p w14:paraId="68421B6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4.需在演练过程中承担主持、技术支持、讲解等组织职责</w:t>
            </w:r>
          </w:p>
          <w:p w14:paraId="107D2CE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5.演练完成后需进行演练效果评估并编写评估报告</w:t>
            </w:r>
            <w:bookmarkStart w:id="0" w:name="_GoBack"/>
            <w:bookmarkEnd w:id="0"/>
          </w:p>
        </w:tc>
        <w:tc>
          <w:tcPr>
            <w:tcW w:w="837" w:type="dxa"/>
            <w:noWrap w:val="0"/>
            <w:vAlign w:val="center"/>
          </w:tcPr>
          <w:p w14:paraId="1F838E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  <w:t>项</w:t>
            </w:r>
          </w:p>
        </w:tc>
        <w:tc>
          <w:tcPr>
            <w:tcW w:w="664" w:type="dxa"/>
            <w:noWrap w:val="0"/>
            <w:vAlign w:val="center"/>
          </w:tcPr>
          <w:p w14:paraId="382AFB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  <w:t>28</w:t>
            </w:r>
          </w:p>
        </w:tc>
        <w:tc>
          <w:tcPr>
            <w:tcW w:w="1200" w:type="dxa"/>
            <w:noWrap w:val="0"/>
            <w:vAlign w:val="center"/>
          </w:tcPr>
          <w:p w14:paraId="34236F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80" w:type="dxa"/>
            <w:noWrap w:val="0"/>
            <w:vAlign w:val="center"/>
          </w:tcPr>
          <w:p w14:paraId="34F107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2134" w:type="dxa"/>
            <w:noWrap w:val="0"/>
            <w:vAlign w:val="center"/>
          </w:tcPr>
          <w:p w14:paraId="1FAB08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  <w:t>驻地项目分布在四川省内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  <w:t>各地</w:t>
            </w:r>
            <w:r>
              <w:rPr>
                <w:rFonts w:hint="default" w:ascii="Times New Roman" w:hAnsi="Times New Roman" w:eastAsia="仿宋_GB2312" w:cs="Times New Roman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  <w:t>，具体地址详见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  <w:t>附件2清</w:t>
            </w:r>
            <w:r>
              <w:rPr>
                <w:rFonts w:hint="default" w:ascii="Times New Roman" w:hAnsi="Times New Roman" w:eastAsia="仿宋_GB2312" w:cs="Times New Roman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  <w:t>单</w:t>
            </w:r>
          </w:p>
        </w:tc>
      </w:tr>
      <w:tr w14:paraId="258552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8897" w:type="dxa"/>
            <w:gridSpan w:val="5"/>
            <w:shd w:val="clear" w:color="auto" w:fill="auto"/>
            <w:noWrap w:val="0"/>
            <w:vAlign w:val="center"/>
          </w:tcPr>
          <w:p w14:paraId="5AA862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righ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  <w:t>小计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  <w:t>（含税）：</w:t>
            </w:r>
          </w:p>
        </w:tc>
        <w:tc>
          <w:tcPr>
            <w:tcW w:w="5278" w:type="dxa"/>
            <w:gridSpan w:val="4"/>
            <w:noWrap w:val="0"/>
            <w:vAlign w:val="center"/>
          </w:tcPr>
          <w:p w14:paraId="4458CE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362960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8" w:hRule="atLeast"/>
        </w:trPr>
        <w:tc>
          <w:tcPr>
            <w:tcW w:w="521" w:type="dxa"/>
            <w:noWrap w:val="0"/>
            <w:vAlign w:val="center"/>
          </w:tcPr>
          <w:p w14:paraId="421E87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1094" w:type="dxa"/>
            <w:shd w:val="clear" w:color="auto" w:fill="auto"/>
            <w:noWrap w:val="0"/>
            <w:vAlign w:val="center"/>
          </w:tcPr>
          <w:p w14:paraId="3EC42EA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安全环保综合检查</w:t>
            </w:r>
          </w:p>
        </w:tc>
        <w:tc>
          <w:tcPr>
            <w:tcW w:w="1280" w:type="dxa"/>
            <w:noWrap w:val="0"/>
            <w:vAlign w:val="center"/>
          </w:tcPr>
          <w:p w14:paraId="463BF8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5165" w:type="dxa"/>
            <w:noWrap w:val="0"/>
            <w:vAlign w:val="center"/>
          </w:tcPr>
          <w:p w14:paraId="199E05C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1.根据《国家部分行业领域重大事故隐患判定标准》、蜀道集团《一般事故隐患内部重点管控标准》等标准对每处驻地开展安全环保综合检查（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检查标准可进行合理选择；</w:t>
            </w:r>
          </w:p>
          <w:p w14:paraId="0D1BA4E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2.检查完成后，需根据检查情况编制整改通知书，提出合理的建议措施，并对整改报告进行验收</w:t>
            </w:r>
          </w:p>
        </w:tc>
        <w:tc>
          <w:tcPr>
            <w:tcW w:w="837" w:type="dxa"/>
            <w:noWrap w:val="0"/>
            <w:vAlign w:val="center"/>
          </w:tcPr>
          <w:p w14:paraId="783544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  <w:t>项</w:t>
            </w:r>
          </w:p>
        </w:tc>
        <w:tc>
          <w:tcPr>
            <w:tcW w:w="664" w:type="dxa"/>
            <w:noWrap w:val="0"/>
            <w:vAlign w:val="center"/>
          </w:tcPr>
          <w:p w14:paraId="44EFE6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  <w:t>28</w:t>
            </w:r>
          </w:p>
        </w:tc>
        <w:tc>
          <w:tcPr>
            <w:tcW w:w="1200" w:type="dxa"/>
            <w:noWrap w:val="0"/>
            <w:vAlign w:val="center"/>
          </w:tcPr>
          <w:p w14:paraId="4BDEB2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80" w:type="dxa"/>
            <w:noWrap w:val="0"/>
            <w:vAlign w:val="center"/>
          </w:tcPr>
          <w:p w14:paraId="7148A7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2134" w:type="dxa"/>
            <w:noWrap w:val="0"/>
            <w:vAlign w:val="center"/>
          </w:tcPr>
          <w:p w14:paraId="417AF6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  <w:t>驻地项目分布在四川省内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  <w:t>各地</w:t>
            </w:r>
            <w:r>
              <w:rPr>
                <w:rFonts w:hint="default" w:ascii="Times New Roman" w:hAnsi="Times New Roman" w:eastAsia="仿宋_GB2312" w:cs="Times New Roman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  <w:t>，具体地址详见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  <w:t>附件2清</w:t>
            </w:r>
            <w:r>
              <w:rPr>
                <w:rFonts w:hint="default" w:ascii="Times New Roman" w:hAnsi="Times New Roman" w:eastAsia="仿宋_GB2312" w:cs="Times New Roman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  <w:t>单</w:t>
            </w:r>
          </w:p>
        </w:tc>
      </w:tr>
      <w:tr w14:paraId="42983D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8897" w:type="dxa"/>
            <w:gridSpan w:val="5"/>
            <w:shd w:val="clear" w:color="auto" w:fill="auto"/>
            <w:noWrap w:val="0"/>
            <w:vAlign w:val="center"/>
          </w:tcPr>
          <w:p w14:paraId="121E09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righ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  <w:t>小计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  <w:t>（含税）：</w:t>
            </w:r>
          </w:p>
        </w:tc>
        <w:tc>
          <w:tcPr>
            <w:tcW w:w="5278" w:type="dxa"/>
            <w:gridSpan w:val="4"/>
            <w:noWrap w:val="0"/>
            <w:vAlign w:val="center"/>
          </w:tcPr>
          <w:p w14:paraId="4AF822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461D04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897" w:type="dxa"/>
            <w:gridSpan w:val="5"/>
            <w:shd w:val="clear" w:color="auto" w:fill="auto"/>
            <w:noWrap w:val="0"/>
            <w:vAlign w:val="center"/>
          </w:tcPr>
          <w:p w14:paraId="5F85C9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righ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  <w:t>合</w:t>
            </w:r>
            <w:r>
              <w:rPr>
                <w:rFonts w:hint="default" w:ascii="Times New Roman" w:hAnsi="Times New Roman" w:eastAsia="仿宋_GB2312" w:cs="Times New Roman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  <w:t>计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  <w:t>（含税）：</w:t>
            </w:r>
          </w:p>
        </w:tc>
        <w:tc>
          <w:tcPr>
            <w:tcW w:w="5278" w:type="dxa"/>
            <w:gridSpan w:val="4"/>
            <w:noWrap w:val="0"/>
            <w:vAlign w:val="center"/>
          </w:tcPr>
          <w:p w14:paraId="60F6D4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</w:pPr>
          </w:p>
        </w:tc>
      </w:tr>
    </w:tbl>
    <w:p w14:paraId="671A85DA">
      <w:pPr>
        <w:pStyle w:val="3"/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jc w:val="both"/>
        <w:textAlignment w:val="auto"/>
        <w:rPr>
          <w:rFonts w:hint="default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0"/>
          <w:szCs w:val="20"/>
          <w:lang w:val="en-US" w:eastAsia="zh-CN" w:bidi="ar"/>
        </w:rPr>
        <w:t>调研说明：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>为便于综合比价，请贵司以</w:t>
      </w:r>
      <w:r>
        <w:rPr>
          <w:rFonts w:hint="default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>上述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>内容</w:t>
      </w:r>
      <w:r>
        <w:rPr>
          <w:rFonts w:hint="default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>为统一基准进行报价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>。</w:t>
      </w:r>
      <w:r>
        <w:rPr>
          <w:rFonts w:hint="default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>同时，请补充以下弹性参数：</w:t>
      </w:r>
    </w:p>
    <w:p w14:paraId="117BF6CA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0" w:leftChars="0" w:right="0" w:rightChars="0" w:firstLine="1004" w:firstLineChars="500"/>
        <w:jc w:val="both"/>
        <w:textAlignment w:val="auto"/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0"/>
          <w:szCs w:val="20"/>
          <w:lang w:val="en-US" w:eastAsia="zh-CN" w:bidi="ar"/>
        </w:rPr>
        <w:t>1.综合应急预案数量</w:t>
      </w:r>
      <w:r>
        <w:rPr>
          <w:rFonts w:hint="default" w:ascii="宋体" w:hAnsi="宋体" w:eastAsia="宋体" w:cs="宋体"/>
          <w:b/>
          <w:bCs/>
          <w:color w:val="000000"/>
          <w:kern w:val="0"/>
          <w:sz w:val="20"/>
          <w:szCs w:val="20"/>
          <w:lang w:val="en-US" w:eastAsia="zh-CN" w:bidi="ar"/>
        </w:rPr>
        <w:t>弹性：</w:t>
      </w:r>
      <w:r>
        <w:rPr>
          <w:rFonts w:hint="default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>基准方案下，每增减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>一份</w:t>
      </w:r>
      <w:r>
        <w:rPr>
          <w:rFonts w:hint="default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>，总价相应增减约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u w:val="single"/>
          <w:lang w:val="en-US" w:eastAsia="zh-CN" w:bidi="ar"/>
        </w:rPr>
        <w:t xml:space="preserve">      </w:t>
      </w:r>
      <w:r>
        <w:rPr>
          <w:rFonts w:hint="default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>元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>；</w:t>
      </w:r>
    </w:p>
    <w:p w14:paraId="6A352D50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0" w:leftChars="0" w:right="0" w:rightChars="0" w:firstLine="1004" w:firstLineChars="500"/>
        <w:jc w:val="both"/>
        <w:textAlignment w:val="auto"/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0"/>
          <w:szCs w:val="20"/>
          <w:lang w:val="en-US" w:eastAsia="zh-CN" w:bidi="ar"/>
        </w:rPr>
        <w:t>2.专项应急预案数量弹性：</w:t>
      </w:r>
      <w:r>
        <w:rPr>
          <w:rFonts w:hint="default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>基准方案下，每增减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>一份</w:t>
      </w:r>
      <w:r>
        <w:rPr>
          <w:rFonts w:hint="default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>，总价相应增减约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u w:val="single"/>
          <w:lang w:val="en-US" w:eastAsia="zh-CN" w:bidi="ar"/>
        </w:rPr>
        <w:t xml:space="preserve">      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 xml:space="preserve"> </w:t>
      </w:r>
      <w:r>
        <w:rPr>
          <w:rFonts w:hint="default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>元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>；</w:t>
      </w:r>
    </w:p>
    <w:p w14:paraId="434C06E1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0" w:leftChars="0" w:right="0" w:rightChars="0" w:firstLine="1004" w:firstLineChars="500"/>
        <w:jc w:val="both"/>
        <w:textAlignment w:val="auto"/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0"/>
          <w:szCs w:val="20"/>
          <w:lang w:val="en-US" w:eastAsia="zh-CN" w:bidi="ar"/>
        </w:rPr>
        <w:t>3.应急演练数量弹性：</w:t>
      </w:r>
      <w:r>
        <w:rPr>
          <w:rFonts w:hint="default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>基准方案下，每增减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>一次</w:t>
      </w:r>
      <w:r>
        <w:rPr>
          <w:rFonts w:hint="default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>，总价相应增减约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u w:val="single"/>
          <w:lang w:val="en-US" w:eastAsia="zh-CN" w:bidi="ar"/>
        </w:rPr>
        <w:t xml:space="preserve">      </w:t>
      </w:r>
      <w:r>
        <w:rPr>
          <w:rFonts w:hint="default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>元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>；</w:t>
      </w:r>
    </w:p>
    <w:p w14:paraId="6D825EFF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0" w:leftChars="0" w:right="0" w:rightChars="0" w:firstLine="1004" w:firstLineChars="500"/>
        <w:jc w:val="both"/>
        <w:textAlignment w:val="auto"/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0"/>
          <w:szCs w:val="20"/>
          <w:lang w:val="en-US" w:eastAsia="zh-CN" w:bidi="ar"/>
        </w:rPr>
        <w:t>4.安全环保综合检查数量弹性：</w:t>
      </w:r>
      <w:r>
        <w:rPr>
          <w:rFonts w:hint="default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>基准方案下，每增减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>一次</w:t>
      </w:r>
      <w:r>
        <w:rPr>
          <w:rFonts w:hint="default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>，总价相应增减约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u w:val="single"/>
          <w:lang w:val="en-US" w:eastAsia="zh-CN" w:bidi="ar"/>
        </w:rPr>
        <w:t xml:space="preserve">      </w:t>
      </w:r>
      <w:r>
        <w:rPr>
          <w:rFonts w:hint="default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>元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>。</w:t>
      </w:r>
    </w:p>
    <w:p w14:paraId="4A3630C6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leftChars="0" w:right="0" w:rightChars="0" w:firstLine="1000" w:firstLineChars="500"/>
        <w:jc w:val="both"/>
        <w:textAlignment w:val="auto"/>
        <w:rPr>
          <w:rFonts w:hint="default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</w:pPr>
    </w:p>
    <w:p w14:paraId="32E9A4E1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leftChars="0" w:right="0" w:rightChars="0" w:firstLine="1000" w:firstLineChars="500"/>
        <w:jc w:val="both"/>
        <w:textAlignment w:val="auto"/>
        <w:rPr>
          <w:rFonts w:hint="default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</w:pPr>
    </w:p>
    <w:p w14:paraId="6B5FF61E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leftChars="0" w:right="0" w:rightChars="0" w:firstLine="1000" w:firstLineChars="500"/>
        <w:jc w:val="both"/>
        <w:textAlignment w:val="auto"/>
        <w:rPr>
          <w:rFonts w:hint="default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</w:pPr>
    </w:p>
    <w:p w14:paraId="6FF99F70">
      <w:pPr>
        <w:pStyle w:val="3"/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firstLine="7560" w:firstLineChars="2700"/>
        <w:textAlignment w:val="auto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t>供应商名称：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 xml:space="preserve">               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（盖公章）</w:t>
      </w:r>
    </w:p>
    <w:p w14:paraId="56D34078">
      <w:pPr>
        <w:pStyle w:val="3"/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firstLine="7560" w:firstLineChars="2700"/>
        <w:textAlignment w:val="auto"/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联系电话：</w:t>
      </w:r>
    </w:p>
    <w:p w14:paraId="2803DACF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440" w:lineRule="exact"/>
        <w:ind w:firstLine="7560" w:firstLineChars="2700"/>
        <w:textAlignment w:val="auto"/>
        <w:rPr>
          <w:rFonts w:hint="eastAsia" w:ascii="宋体" w:hAnsi="宋体" w:eastAsia="宋体" w:cs="宋体"/>
          <w:b/>
          <w:bCs/>
          <w:sz w:val="40"/>
          <w:szCs w:val="40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 xml:space="preserve">日期：    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 xml:space="preserve">年  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 xml:space="preserve"> 月   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日</w:t>
      </w:r>
    </w:p>
    <w:sectPr>
      <w:pgSz w:w="16838" w:h="11906" w:orient="landscape"/>
      <w:pgMar w:top="1417" w:right="1440" w:bottom="1417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665637"/>
    <w:rsid w:val="0CAE04D7"/>
    <w:rsid w:val="189E0D13"/>
    <w:rsid w:val="1AE842E8"/>
    <w:rsid w:val="3FD50B45"/>
    <w:rsid w:val="4691768B"/>
    <w:rsid w:val="4F665637"/>
    <w:rsid w:val="58F14023"/>
    <w:rsid w:val="5FE11315"/>
    <w:rsid w:val="7FB84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qFormat/>
    <w:uiPriority w:val="0"/>
    <w:rPr>
      <w:rFonts w:ascii="宋体"/>
      <w:sz w:val="18"/>
      <w:szCs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1381</Words>
  <Characters>1413</Characters>
  <Lines>0</Lines>
  <Paragraphs>0</Paragraphs>
  <TotalTime>19</TotalTime>
  <ScaleCrop>false</ScaleCrop>
  <LinksUpToDate>false</LinksUpToDate>
  <CharactersWithSpaces>1489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2026-06-12T03:04:00Z</dcterms:created>
  <dc:creator>但怡佳</dc:creator>
  <cp:lastModifiedBy>é­ä¸°æº</cp:lastModifiedBy>
  <cp:lastPrinted>2026-09-15T01:16:37Z</cp:lastPrinted>
  <dcterms:modified xsi:type="dcterms:W3CDTF">2026-09-15T01:42:20Z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DEF736064B07438C82B25473E624B6AA_11</vt:lpwstr>
  </property>
  <property fmtid="{D5CDD505-2E9C-101B-9397-08002B2CF9AE}" pid="4" name="KSOTemplateDocerSaveRecord">
    <vt:lpwstr>eyJoZGlkIjoiYzgzMDhiNDk1YzZlYTRhODU0OTkyN2EzYmYwMTAwZDkiLCJ1c2VySWQiOiI0MTM3NzUyNzMifQ==</vt:lpwstr>
  </property>
</Properties>
</file>